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Crew progress report: 19 to 20 September 2026</w:t>
      </w:r>
    </w:p>
    <w:p>
      <w:pPr>
        <w:pStyle w:val="BodyTextmuted"/>
        <w:bidi w:val="0"/>
        <w:jc w:val="left"/>
        <w:rPr/>
      </w:pPr>
      <w:r>
        <w:rPr/>
        <w:t xml:space="preserve">What improved in this session, and how the repository compares with one month ago. Figures read from </w:t>
      </w:r>
      <w:r>
        <w:rPr>
          <w:rStyle w:val="SourceText"/>
        </w:rPr>
        <w:t>origin/main</w:t>
      </w:r>
      <w:r>
        <w:rPr/>
        <w:t xml:space="preserve"> at ff48c381 (20 September) against fdcee1d3 (19 August). Review counts from </w:t>
      </w:r>
      <w:r>
        <w:rPr>
          <w:rStyle w:val="SourceText"/>
        </w:rPr>
        <w:t>.crew/metrics.md</w:t>
      </w:r>
      <w:r>
        <w:rPr/>
        <w:t>.</w:t>
      </w:r>
    </w:p>
    <w:p>
      <w:pPr>
        <w:pStyle w:val="BodyText"/>
        <w:bidi w:val="0"/>
        <w:spacing w:before="200" w:after="200"/>
        <w:ind w:hanging="0" w:left="200" w:right="200"/>
        <w:jc w:val="left"/>
        <w:rPr>
          <w:bdr w:val="single" w:sz="2" w:space="8" w:color="1F4E79"/>
          <w:shd w:fill="F3F6FA" w:val="clear"/>
        </w:rPr>
      </w:pPr>
      <w:r>
        <w:rPr>
          <w:b/>
          <w:bdr w:val="single" w:sz="2" w:space="8" w:color="1F4E79"/>
          <w:shd w:fill="F3F6FA" w:val="clear"/>
        </w:rPr>
        <w:t>In one paragraph.</w:t>
      </w:r>
      <w:r>
        <w:rPr>
          <w:bdr w:val="single" w:sz="2" w:space="8" w:color="1F4E79"/>
          <w:shd w:fill="F3F6FA" w:val="clear"/>
        </w:rPr>
        <w:t xml:space="preserve"> Eight of the ten research findings are merged and the ninth is landing. The Stop hook that took seven minutes per turn is fixed at its root and shipped as crew 0.19.94. The plugin gained a mechanical write guard, a live behaviour eval suite, an idle rule that closes a stall that had cost whole nights, and YAML-safe frontmatter on every one of its 54 agents. A month ago the plugin directory did not exist.</w:t>
      </w:r>
    </w:p>
    <w:p>
      <w:pPr>
        <w:pStyle w:val="Heading2"/>
        <w:bidi w:val="0"/>
        <w:ind w:hanging="0"/>
        <w:jc w:val="left"/>
        <w:rPr/>
      </w:pPr>
      <w:r>
        <w:rPr/>
        <w:t>1. What was asked for, and what landed</w:t>
      </w:r>
    </w:p>
    <w:tbl>
      <w:tblPr>
        <w:tblW w:w="5000" w:type="pct"/>
        <w:jc w:val="left"/>
        <w:tblInd w:w="28" w:type="dxa"/>
        <w:tblLayout w:type="fixed"/>
        <w:tblCellMar>
          <w:top w:w="28" w:type="dxa"/>
          <w:left w:w="28" w:type="dxa"/>
          <w:bottom w:w="28" w:type="dxa"/>
          <w:right w:w="28" w:type="dxa"/>
        </w:tblCellMar>
      </w:tblPr>
      <w:tblGrid>
        <w:gridCol w:w="2414"/>
        <w:gridCol w:w="6787"/>
        <w:gridCol w:w="2138"/>
      </w:tblGrid>
      <w:tr>
        <w:trPr>
          <w:tblHeader w:val="true"/>
        </w:trPr>
        <w:tc>
          <w:tcPr>
            <w:tcW w:w="2414" w:type="dxa"/>
            <w:tcBorders/>
            <w:vAlign w:val="center"/>
          </w:tcPr>
          <w:p>
            <w:pPr>
              <w:pStyle w:val="TableHeading"/>
              <w:suppressLineNumbers/>
              <w:shd w:fill="1F4E79" w:val="clear"/>
              <w:bidi w:val="0"/>
              <w:spacing w:before="120" w:after="120"/>
              <w:jc w:val="left"/>
              <w:rPr/>
            </w:pPr>
            <w:r>
              <w:rPr/>
              <w:t>Ask</w:t>
            </w:r>
          </w:p>
        </w:tc>
        <w:tc>
          <w:tcPr>
            <w:tcW w:w="6787" w:type="dxa"/>
            <w:tcBorders/>
            <w:vAlign w:val="center"/>
          </w:tcPr>
          <w:p>
            <w:pPr>
              <w:pStyle w:val="TableHeading"/>
              <w:suppressLineNumbers/>
              <w:shd w:fill="1F4E79" w:val="clear"/>
              <w:bidi w:val="0"/>
              <w:spacing w:before="120" w:after="120"/>
              <w:jc w:val="left"/>
              <w:rPr/>
            </w:pPr>
            <w:r>
              <w:rPr/>
              <w:t>Result</w:t>
            </w:r>
          </w:p>
        </w:tc>
        <w:tc>
          <w:tcPr>
            <w:tcW w:w="2138" w:type="dxa"/>
            <w:tcBorders/>
            <w:vAlign w:val="center"/>
          </w:tcPr>
          <w:p>
            <w:pPr>
              <w:pStyle w:val="TableHeading"/>
              <w:suppressLineNumbers/>
              <w:shd w:fill="1F4E79" w:val="clear"/>
              <w:bidi w:val="0"/>
              <w:spacing w:before="120" w:after="120"/>
              <w:jc w:val="left"/>
              <w:rPr/>
            </w:pPr>
            <w:r>
              <w:rPr/>
              <w:t>Where</w:t>
            </w:r>
          </w:p>
        </w:tc>
      </w:tr>
      <w:tr>
        <w:trPr/>
        <w:tc>
          <w:tcPr>
            <w:tcW w:w="2414" w:type="dxa"/>
            <w:tcBorders/>
            <w:vAlign w:val="center"/>
          </w:tcPr>
          <w:p>
            <w:pPr>
              <w:pStyle w:val="TableContents"/>
              <w:bidi w:val="0"/>
              <w:spacing w:before="120" w:after="120"/>
              <w:jc w:val="left"/>
              <w:rPr/>
            </w:pPr>
            <w:r>
              <w:rPr/>
              <w:t>Stop hooks take forever; I cancel them</w:t>
            </w:r>
          </w:p>
        </w:tc>
        <w:tc>
          <w:tcPr>
            <w:tcW w:w="6787" w:type="dxa"/>
            <w:tcBorders/>
            <w:vAlign w:val="center"/>
          </w:tcPr>
          <w:p>
            <w:pPr>
              <w:pStyle w:val="TableContents"/>
              <w:bidi w:val="0"/>
              <w:spacing w:before="120" w:after="120"/>
              <w:jc w:val="left"/>
              <w:rPr/>
            </w:pPr>
            <w:r>
              <w:rPr/>
              <w:t>Root cause found (a marker that only advanced when nothing was deferred, and unpriced rules that could never be deferred), hot-fixed on this machine the same morning, and fixed durably: per-rule verified record, measure-and-cache pricing, reach declarations, env pinning, exit 77 as SKIP.</w:t>
            </w:r>
          </w:p>
        </w:tc>
        <w:tc>
          <w:tcPr>
            <w:tcW w:w="2138" w:type="dxa"/>
            <w:tcBorders/>
            <w:vAlign w:val="center"/>
          </w:tcPr>
          <w:p>
            <w:pPr>
              <w:pStyle w:val="TableContents"/>
              <w:bidi w:val="0"/>
              <w:spacing w:before="120" w:after="120"/>
              <w:jc w:val="left"/>
              <w:rPr/>
            </w:pPr>
            <w:r>
              <w:rPr/>
              <w:t>PR #197, PR #202, crew 0.19.94</w:t>
            </w:r>
          </w:p>
        </w:tc>
      </w:tr>
      <w:tr>
        <w:trPr/>
        <w:tc>
          <w:tcPr>
            <w:tcW w:w="2414" w:type="dxa"/>
            <w:tcBorders/>
            <w:vAlign w:val="center"/>
          </w:tcPr>
          <w:p>
            <w:pPr>
              <w:pStyle w:val="TableContents"/>
              <w:bidi w:val="0"/>
              <w:spacing w:before="120" w:after="120"/>
              <w:jc w:val="left"/>
              <w:rPr/>
            </w:pPr>
            <w:r>
              <w:rPr/>
              <w:t>The crew loses the picture and wanders</w:t>
            </w:r>
          </w:p>
        </w:tc>
        <w:tc>
          <w:tcPr>
            <w:tcW w:w="6787" w:type="dxa"/>
            <w:tcBorders/>
            <w:vAlign w:val="center"/>
          </w:tcPr>
          <w:p>
            <w:pPr>
              <w:pStyle w:val="TableContents"/>
              <w:bidi w:val="0"/>
              <w:spacing w:before="120" w:after="120"/>
              <w:jc w:val="left"/>
              <w:rPr/>
            </w:pPr>
            <w:r>
              <w:rPr/>
              <w:t>Scope evidence now diffs against the ticket's own start commit rather than the verification marker, and the developer may commit on its own branch, which every brief assumed and the role file forbade.</w:t>
            </w:r>
          </w:p>
        </w:tc>
        <w:tc>
          <w:tcPr>
            <w:tcW w:w="2138" w:type="dxa"/>
            <w:tcBorders/>
            <w:vAlign w:val="center"/>
          </w:tcPr>
          <w:p>
            <w:pPr>
              <w:pStyle w:val="TableContents"/>
              <w:bidi w:val="0"/>
              <w:spacing w:before="120" w:after="120"/>
              <w:jc w:val="left"/>
              <w:rPr/>
            </w:pPr>
            <w:r>
              <w:rPr/>
              <w:t>Ticket T-0003, crew 0.19.95, merging</w:t>
            </w:r>
          </w:p>
        </w:tc>
      </w:tr>
      <w:tr>
        <w:trPr/>
        <w:tc>
          <w:tcPr>
            <w:tcW w:w="2414" w:type="dxa"/>
            <w:tcBorders/>
            <w:vAlign w:val="center"/>
          </w:tcPr>
          <w:p>
            <w:pPr>
              <w:pStyle w:val="TableContents"/>
              <w:bidi w:val="0"/>
              <w:spacing w:before="120" w:after="120"/>
              <w:jc w:val="left"/>
              <w:rPr/>
            </w:pPr>
            <w:r>
              <w:rPr/>
              <w:t>Roles veer off and idle</w:t>
            </w:r>
          </w:p>
        </w:tc>
        <w:tc>
          <w:tcPr>
            <w:tcW w:w="6787" w:type="dxa"/>
            <w:tcBorders/>
            <w:vAlign w:val="center"/>
          </w:tcPr>
          <w:p>
            <w:pPr>
              <w:pStyle w:val="TableContents"/>
              <w:bidi w:val="0"/>
              <w:spacing w:before="120" w:after="120"/>
              <w:jc w:val="left"/>
              <w:rPr/>
            </w:pPr>
            <w:r>
              <w:rPr/>
              <w:t>Every role that runs a gate runs it in the foreground and never ends a turn waiting on a background task; the PM checks worktree file times before calling a role stalled and escalates instead of restarting it.</w:t>
            </w:r>
          </w:p>
        </w:tc>
        <w:tc>
          <w:tcPr>
            <w:tcW w:w="2138" w:type="dxa"/>
            <w:tcBorders/>
            <w:vAlign w:val="center"/>
          </w:tcPr>
          <w:p>
            <w:pPr>
              <w:pStyle w:val="TableContents"/>
              <w:bidi w:val="0"/>
              <w:spacing w:before="120" w:after="120"/>
              <w:jc w:val="left"/>
              <w:rPr/>
            </w:pPr>
            <w:r>
              <w:rPr/>
              <w:t>PR #198, crew 0.19.90</w:t>
            </w:r>
          </w:p>
        </w:tc>
      </w:tr>
      <w:tr>
        <w:trPr/>
        <w:tc>
          <w:tcPr>
            <w:tcW w:w="2414" w:type="dxa"/>
            <w:tcBorders/>
            <w:vAlign w:val="center"/>
          </w:tcPr>
          <w:p>
            <w:pPr>
              <w:pStyle w:val="TableContents"/>
              <w:bidi w:val="0"/>
              <w:spacing w:before="120" w:after="120"/>
              <w:jc w:val="left"/>
              <w:rPr/>
            </w:pPr>
            <w:r>
              <w:rPr/>
              <w:t>The PM should not write code</w:t>
            </w:r>
          </w:p>
        </w:tc>
        <w:tc>
          <w:tcPr>
            <w:tcW w:w="6787" w:type="dxa"/>
            <w:tcBorders/>
            <w:vAlign w:val="center"/>
          </w:tcPr>
          <w:p>
            <w:pPr>
              <w:pStyle w:val="TableContents"/>
              <w:bidi w:val="0"/>
              <w:spacing w:before="120" w:after="120"/>
              <w:jc w:val="left"/>
              <w:rPr/>
            </w:pPr>
            <w:r>
              <w:rPr/>
              <w:t>A PreToolUse write guard enforces each role's scope from its own tools frontmatter; off by default, block as the floor, corrupt config forces the strict setting.</w:t>
            </w:r>
          </w:p>
        </w:tc>
        <w:tc>
          <w:tcPr>
            <w:tcW w:w="2138" w:type="dxa"/>
            <w:tcBorders/>
            <w:vAlign w:val="center"/>
          </w:tcPr>
          <w:p>
            <w:pPr>
              <w:pStyle w:val="TableContents"/>
              <w:bidi w:val="0"/>
              <w:spacing w:before="120" w:after="120"/>
              <w:jc w:val="left"/>
              <w:rPr/>
            </w:pPr>
            <w:r>
              <w:rPr/>
              <w:t>PR #200, crew 0.19.92</w:t>
            </w:r>
          </w:p>
        </w:tc>
      </w:tr>
      <w:tr>
        <w:trPr/>
        <w:tc>
          <w:tcPr>
            <w:tcW w:w="2414" w:type="dxa"/>
            <w:tcBorders/>
            <w:vAlign w:val="center"/>
          </w:tcPr>
          <w:p>
            <w:pPr>
              <w:pStyle w:val="TableContents"/>
              <w:bidi w:val="0"/>
              <w:spacing w:before="120" w:after="120"/>
              <w:jc w:val="left"/>
              <w:rPr/>
            </w:pPr>
            <w:r>
              <w:rPr/>
              <w:t>Test that the rules work, not that they are written</w:t>
            </w:r>
          </w:p>
        </w:tc>
        <w:tc>
          <w:tcPr>
            <w:tcW w:w="6787" w:type="dxa"/>
            <w:tcBorders/>
            <w:vAlign w:val="center"/>
          </w:tcPr>
          <w:p>
            <w:pPr>
              <w:pStyle w:val="TableContents"/>
              <w:bidi w:val="0"/>
              <w:spacing w:before="120" w:after="120"/>
              <w:jc w:val="left"/>
              <w:rPr/>
            </w:pPr>
            <w:r>
              <w:rPr/>
              <w:t>Five live eval cases against a real model; the first run caught the PM editing code itself.</w:t>
            </w:r>
          </w:p>
        </w:tc>
        <w:tc>
          <w:tcPr>
            <w:tcW w:w="2138" w:type="dxa"/>
            <w:tcBorders/>
            <w:vAlign w:val="center"/>
          </w:tcPr>
          <w:p>
            <w:pPr>
              <w:pStyle w:val="TableContents"/>
              <w:bidi w:val="0"/>
              <w:spacing w:before="120" w:after="120"/>
              <w:jc w:val="left"/>
              <w:rPr/>
            </w:pPr>
            <w:r>
              <w:rPr/>
              <w:t>PR #199, crew 0.19.91</w:t>
            </w:r>
          </w:p>
        </w:tc>
      </w:tr>
      <w:tr>
        <w:trPr/>
        <w:tc>
          <w:tcPr>
            <w:tcW w:w="2414" w:type="dxa"/>
            <w:tcBorders/>
            <w:vAlign w:val="center"/>
          </w:tcPr>
          <w:p>
            <w:pPr>
              <w:pStyle w:val="TableContents"/>
              <w:bidi w:val="0"/>
              <w:spacing w:before="120" w:after="120"/>
              <w:jc w:val="left"/>
              <w:rPr/>
            </w:pPr>
            <w:r>
              <w:rPr/>
              <w:t>Adopt the agent example convention</w:t>
            </w:r>
          </w:p>
        </w:tc>
        <w:tc>
          <w:tcPr>
            <w:tcW w:w="6787" w:type="dxa"/>
            <w:tcBorders/>
            <w:vAlign w:val="center"/>
          </w:tcPr>
          <w:p>
            <w:pPr>
              <w:pStyle w:val="TableContents"/>
              <w:bidi w:val="0"/>
              <w:spacing w:before="120" w:after="120"/>
              <w:jc w:val="left"/>
              <w:rPr/>
            </w:pPr>
            <w:r>
              <w:rPr/>
              <w:t>All 54 agents carry their example inside a block scalar; the official convention breaks YAML and silently drops tools and model.</w:t>
            </w:r>
          </w:p>
        </w:tc>
        <w:tc>
          <w:tcPr>
            <w:tcW w:w="2138" w:type="dxa"/>
            <w:tcBorders/>
            <w:vAlign w:val="center"/>
          </w:tcPr>
          <w:p>
            <w:pPr>
              <w:pStyle w:val="TableContents"/>
              <w:bidi w:val="0"/>
              <w:spacing w:before="120" w:after="120"/>
              <w:jc w:val="left"/>
              <w:rPr/>
            </w:pPr>
            <w:r>
              <w:rPr/>
              <w:t>PR #201, crew 0.19.93</w:t>
            </w:r>
          </w:p>
        </w:tc>
      </w:tr>
      <w:tr>
        <w:trPr/>
        <w:tc>
          <w:tcPr>
            <w:tcW w:w="2414" w:type="dxa"/>
            <w:tcBorders/>
            <w:vAlign w:val="center"/>
          </w:tcPr>
          <w:p>
            <w:pPr>
              <w:pStyle w:val="TableContents"/>
              <w:bidi w:val="0"/>
              <w:spacing w:before="120" w:after="120"/>
              <w:jc w:val="left"/>
              <w:rPr/>
            </w:pPr>
            <w:r>
              <w:rPr/>
              <w:t>Frontmatter that silently fails to load</w:t>
            </w:r>
          </w:p>
        </w:tc>
        <w:tc>
          <w:tcPr>
            <w:tcW w:w="6787" w:type="dxa"/>
            <w:tcBorders/>
            <w:vAlign w:val="center"/>
          </w:tcPr>
          <w:p>
            <w:pPr>
              <w:pStyle w:val="TableContents"/>
              <w:bidi w:val="0"/>
              <w:spacing w:before="120" w:after="120"/>
              <w:jc w:val="left"/>
              <w:rPr/>
            </w:pPr>
            <w:r>
              <w:rPr/>
              <w:t>Four command files fixed; the marketplace check now parses every command, skill and agent file as YAML.</w:t>
            </w:r>
          </w:p>
        </w:tc>
        <w:tc>
          <w:tcPr>
            <w:tcW w:w="2138" w:type="dxa"/>
            <w:tcBorders/>
            <w:vAlign w:val="center"/>
          </w:tcPr>
          <w:p>
            <w:pPr>
              <w:pStyle w:val="TableContents"/>
              <w:bidi w:val="0"/>
              <w:spacing w:before="120" w:after="120"/>
              <w:jc w:val="left"/>
              <w:rPr/>
            </w:pPr>
            <w:r>
              <w:rPr/>
              <w:t>PR #196</w:t>
            </w:r>
          </w:p>
        </w:tc>
      </w:tr>
      <w:tr>
        <w:trPr/>
        <w:tc>
          <w:tcPr>
            <w:tcW w:w="2414" w:type="dxa"/>
            <w:tcBorders/>
            <w:vAlign w:val="center"/>
          </w:tcPr>
          <w:p>
            <w:pPr>
              <w:pStyle w:val="TableContents"/>
              <w:bidi w:val="0"/>
              <w:spacing w:before="120" w:after="120"/>
              <w:jc w:val="left"/>
              <w:rPr/>
            </w:pPr>
            <w:r>
              <w:rPr/>
              <w:t>Human-readable documentation</w:t>
            </w:r>
          </w:p>
        </w:tc>
        <w:tc>
          <w:tcPr>
            <w:tcW w:w="6787" w:type="dxa"/>
            <w:tcBorders/>
            <w:vAlign w:val="center"/>
          </w:tcPr>
          <w:p>
            <w:pPr>
              <w:pStyle w:val="TableContents"/>
              <w:bidi w:val="0"/>
              <w:spacing w:before="120" w:after="120"/>
              <w:jc w:val="left"/>
              <w:rPr/>
            </w:pPr>
            <w:r>
              <w:rPr/>
              <w:t>Three capability guides (overview, technical reference, combined) as HTML, DOCX and PDF, mirrored to the Obsidian vault with the code map and diagrams.</w:t>
            </w:r>
          </w:p>
        </w:tc>
        <w:tc>
          <w:tcPr>
            <w:tcW w:w="2138" w:type="dxa"/>
            <w:tcBorders/>
            <w:vAlign w:val="center"/>
          </w:tcPr>
          <w:p>
            <w:pPr>
              <w:pStyle w:val="TableContents"/>
              <w:bidi w:val="0"/>
              <w:spacing w:before="120" w:after="120"/>
              <w:jc w:val="left"/>
              <w:rPr/>
            </w:pPr>
            <w:r>
              <w:rPr>
                <w:rStyle w:val="SourceText"/>
              </w:rPr>
              <w:t>docs/guides/</w:t>
            </w:r>
            <w:r>
              <w:rPr/>
              <w:t xml:space="preserve">, vault </w:t>
            </w:r>
            <w:r>
              <w:rPr>
                <w:rStyle w:val="SourceText"/>
              </w:rPr>
              <w:t>wiki/crew-plugin/</w:t>
            </w:r>
          </w:p>
        </w:tc>
      </w:tr>
    </w:tbl>
    <w:p>
      <w:pPr>
        <w:pStyle w:val="Heading2"/>
        <w:bidi w:val="0"/>
        <w:jc w:val="left"/>
        <w:rPr/>
      </w:pPr>
      <w:r>
        <w:rPr/>
        <w:t>2. The Stop hook, before and after</w:t>
      </w:r>
    </w:p>
    <w:tbl>
      <w:tblPr>
        <w:tblW w:w="5000" w:type="pct"/>
        <w:jc w:val="left"/>
        <w:tblInd w:w="28" w:type="dxa"/>
        <w:tblLayout w:type="fixed"/>
        <w:tblCellMar>
          <w:top w:w="28" w:type="dxa"/>
          <w:left w:w="28" w:type="dxa"/>
          <w:bottom w:w="28" w:type="dxa"/>
          <w:right w:w="28" w:type="dxa"/>
        </w:tblCellMar>
      </w:tblPr>
      <w:tblGrid>
        <w:gridCol w:w="2011"/>
        <w:gridCol w:w="4985"/>
        <w:gridCol w:w="4343"/>
      </w:tblGrid>
      <w:tr>
        <w:trPr>
          <w:tblHeader w:val="true"/>
        </w:trPr>
        <w:tc>
          <w:tcPr>
            <w:tcW w:w="2011" w:type="dxa"/>
            <w:tcBorders/>
            <w:vAlign w:val="center"/>
          </w:tcPr>
          <w:p>
            <w:pPr>
              <w:pStyle w:val="TableHeading"/>
              <w:suppressLineNumbers/>
              <w:shd w:fill="1F4E79" w:val="clear"/>
              <w:bidi w:val="0"/>
              <w:spacing w:before="120" w:after="120"/>
              <w:jc w:val="left"/>
              <w:rPr/>
            </w:pPr>
            <w:r>
              <w:rPr/>
              <w:t>Measure</w:t>
            </w:r>
          </w:p>
        </w:tc>
        <w:tc>
          <w:tcPr>
            <w:tcW w:w="4985" w:type="dxa"/>
            <w:tcBorders/>
            <w:vAlign w:val="center"/>
          </w:tcPr>
          <w:p>
            <w:pPr>
              <w:pStyle w:val="TableHeading"/>
              <w:suppressLineNumbers/>
              <w:shd w:fill="1F4E79" w:val="clear"/>
              <w:bidi w:val="0"/>
              <w:spacing w:before="120" w:after="120"/>
              <w:jc w:val="left"/>
              <w:rPr/>
            </w:pPr>
            <w:r>
              <w:rPr/>
              <w:t>Before (19 September, morning)</w:t>
            </w:r>
          </w:p>
        </w:tc>
        <w:tc>
          <w:tcPr>
            <w:tcW w:w="4343" w:type="dxa"/>
            <w:tcBorders/>
            <w:vAlign w:val="center"/>
          </w:tcPr>
          <w:p>
            <w:pPr>
              <w:pStyle w:val="TableHeading"/>
              <w:suppressLineNumbers/>
              <w:shd w:fill="1F4E79" w:val="clear"/>
              <w:bidi w:val="0"/>
              <w:spacing w:before="120" w:after="120"/>
              <w:jc w:val="left"/>
              <w:rPr/>
            </w:pPr>
            <w:r>
              <w:rPr/>
              <w:t>After</w:t>
            </w:r>
          </w:p>
        </w:tc>
      </w:tr>
      <w:tr>
        <w:trPr/>
        <w:tc>
          <w:tcPr>
            <w:tcW w:w="2011" w:type="dxa"/>
            <w:tcBorders/>
            <w:vAlign w:val="center"/>
          </w:tcPr>
          <w:p>
            <w:pPr>
              <w:pStyle w:val="TableContents"/>
              <w:bidi w:val="0"/>
              <w:spacing w:before="120" w:after="120"/>
              <w:jc w:val="left"/>
              <w:rPr/>
            </w:pPr>
            <w:r>
              <w:rPr/>
              <w:t>Stop hook in this repository</w:t>
            </w:r>
          </w:p>
        </w:tc>
        <w:tc>
          <w:tcPr>
            <w:tcW w:w="4985" w:type="dxa"/>
            <w:tcBorders/>
            <w:vAlign w:val="center"/>
          </w:tcPr>
          <w:p>
            <w:pPr>
              <w:pStyle w:val="TableContents"/>
              <w:bidi w:val="0"/>
              <w:spacing w:before="120" w:after="120"/>
              <w:jc w:val="left"/>
              <w:rPr/>
            </w:pPr>
            <w:r>
              <w:rPr/>
              <w:t>About 7 minutes per turn; 13 rules over 59 files, marker 41 commits behind</w:t>
            </w:r>
          </w:p>
        </w:tc>
        <w:tc>
          <w:tcPr>
            <w:tcW w:w="4343" w:type="dxa"/>
            <w:tcBorders/>
            <w:vAlign w:val="center"/>
          </w:tcPr>
          <w:p>
            <w:pPr>
              <w:pStyle w:val="TableContents"/>
              <w:bidi w:val="0"/>
              <w:spacing w:before="120" w:after="120"/>
              <w:jc w:val="left"/>
              <w:rPr/>
            </w:pPr>
            <w:r>
              <w:rPr/>
              <w:t>Seconds after the hot fix; bounded by the 60 s budget with announced deferrals after 0.19.94</w:t>
            </w:r>
          </w:p>
        </w:tc>
      </w:tr>
      <w:tr>
        <w:trPr/>
        <w:tc>
          <w:tcPr>
            <w:tcW w:w="2011" w:type="dxa"/>
            <w:tcBorders/>
            <w:vAlign w:val="center"/>
          </w:tcPr>
          <w:p>
            <w:pPr>
              <w:pStyle w:val="TableContents"/>
              <w:bidi w:val="0"/>
              <w:spacing w:before="120" w:after="120"/>
              <w:jc w:val="left"/>
              <w:rPr/>
            </w:pPr>
            <w:r>
              <w:rPr/>
              <w:t>Rules priced here</w:t>
            </w:r>
          </w:p>
        </w:tc>
        <w:tc>
          <w:tcPr>
            <w:tcW w:w="4985" w:type="dxa"/>
            <w:tcBorders/>
            <w:vAlign w:val="center"/>
          </w:tcPr>
          <w:p>
            <w:pPr>
              <w:pStyle w:val="TableContents"/>
              <w:bidi w:val="0"/>
              <w:spacing w:before="120" w:after="120"/>
              <w:jc w:val="left"/>
              <w:rPr/>
            </w:pPr>
            <w:r>
              <w:rPr/>
              <w:t>11 of 21</w:t>
            </w:r>
          </w:p>
        </w:tc>
        <w:tc>
          <w:tcPr>
            <w:tcW w:w="4343" w:type="dxa"/>
            <w:tcBorders/>
            <w:vAlign w:val="center"/>
          </w:tcPr>
          <w:p>
            <w:pPr>
              <w:pStyle w:val="TableContents"/>
              <w:bidi w:val="0"/>
              <w:spacing w:before="120" w:after="120"/>
              <w:jc w:val="left"/>
              <w:rPr/>
            </w:pPr>
            <w:r>
              <w:rPr/>
              <w:t>21 of 21</w:t>
            </w:r>
          </w:p>
        </w:tc>
      </w:tr>
      <w:tr>
        <w:trPr/>
        <w:tc>
          <w:tcPr>
            <w:tcW w:w="2011" w:type="dxa"/>
            <w:tcBorders/>
            <w:vAlign w:val="center"/>
          </w:tcPr>
          <w:p>
            <w:pPr>
              <w:pStyle w:val="TableContents"/>
              <w:bidi w:val="0"/>
              <w:spacing w:before="120" w:after="120"/>
              <w:jc w:val="left"/>
              <w:rPr/>
            </w:pPr>
            <w:r>
              <w:rPr/>
              <w:t>Rules with a reach declaration here</w:t>
            </w:r>
          </w:p>
        </w:tc>
        <w:tc>
          <w:tcPr>
            <w:tcW w:w="4985" w:type="dxa"/>
            <w:tcBorders/>
            <w:vAlign w:val="center"/>
          </w:tcPr>
          <w:p>
            <w:pPr>
              <w:pStyle w:val="TableContents"/>
              <w:bidi w:val="0"/>
              <w:spacing w:before="120" w:after="120"/>
              <w:jc w:val="left"/>
              <w:rPr/>
            </w:pPr>
            <w:r>
              <w:rPr/>
              <w:t>0 of 21</w:t>
            </w:r>
          </w:p>
        </w:tc>
        <w:tc>
          <w:tcPr>
            <w:tcW w:w="4343" w:type="dxa"/>
            <w:tcBorders/>
            <w:vAlign w:val="center"/>
          </w:tcPr>
          <w:p>
            <w:pPr>
              <w:pStyle w:val="TableContents"/>
              <w:bidi w:val="0"/>
              <w:spacing w:before="120" w:after="120"/>
              <w:jc w:val="left"/>
              <w:rPr/>
            </w:pPr>
            <w:r>
              <w:rPr/>
              <w:t>18 of 21 declared local; the other 3 are plainly local</w:t>
            </w:r>
          </w:p>
        </w:tc>
      </w:tr>
      <w:tr>
        <w:trPr/>
        <w:tc>
          <w:tcPr>
            <w:tcW w:w="2011" w:type="dxa"/>
            <w:tcBorders/>
            <w:vAlign w:val="center"/>
          </w:tcPr>
          <w:p>
            <w:pPr>
              <w:pStyle w:val="TableContents"/>
              <w:bidi w:val="0"/>
              <w:spacing w:before="120" w:after="120"/>
              <w:jc w:val="left"/>
              <w:rPr/>
            </w:pPr>
            <w:r>
              <w:rPr/>
              <w:t>Other repositories on this machine</w:t>
            </w:r>
          </w:p>
        </w:tc>
        <w:tc>
          <w:tcPr>
            <w:tcW w:w="4985" w:type="dxa"/>
            <w:tcBorders/>
            <w:vAlign w:val="center"/>
          </w:tcPr>
          <w:p>
            <w:pPr>
              <w:pStyle w:val="TableContents"/>
              <w:bidi w:val="0"/>
              <w:spacing w:before="120" w:after="120"/>
              <w:jc w:val="left"/>
              <w:rPr/>
            </w:pPr>
            <w:r>
              <w:rPr/>
              <w:t>TheSelectSource 0 of 28 priced, 10 rules hitting a live dev host over SSM every turn; SRL 0 of 43 priced, no marker, 499 s per Stop</w:t>
            </w:r>
          </w:p>
        </w:tc>
        <w:tc>
          <w:tcPr>
            <w:tcW w:w="4343" w:type="dxa"/>
            <w:tcBorders/>
            <w:vAlign w:val="center"/>
          </w:tcPr>
          <w:p>
            <w:pPr>
              <w:pStyle w:val="TableContents"/>
              <w:bidi w:val="0"/>
              <w:spacing w:before="120" w:after="120"/>
              <w:jc w:val="left"/>
              <w:rPr/>
            </w:pPr>
            <w:r>
              <w:rPr/>
              <w:t>Both told what to declare and price after reloading; a rule that reaches a host can no longer run on Stop undeclared</w:t>
            </w:r>
          </w:p>
        </w:tc>
      </w:tr>
    </w:tbl>
    <w:p>
      <w:pPr>
        <w:pStyle w:val="BodyText"/>
        <w:bidi w:val="0"/>
        <w:jc w:val="left"/>
        <w:rPr/>
      </w:pPr>
      <w:r>
        <w:rPr/>
        <w:t>The durable fix went through eight independent review rounds and a PowerShell security specialist. Rounds 4 to 7 each found a new piece of shell syntax that hid a script from the reach classifier; the answer was to stop modelling shell entirely, so an undeclared rule containing any metacharacter is deferred until declared. Round 8 asked one question, whether the new record could let the marker pass unverified work, and found two ways; both are closed and tested.</w:t>
      </w:r>
    </w:p>
    <w:p>
      <w:pPr>
        <w:pStyle w:val="Heading2"/>
        <w:bidi w:val="0"/>
        <w:jc w:val="left"/>
        <w:rPr/>
      </w:pPr>
      <w:r>
        <w:rPr/>
        <w:t>3. Review effort this session</w:t>
      </w:r>
    </w:p>
    <w:tbl>
      <w:tblPr>
        <w:tblW w:w="5000" w:type="pct"/>
        <w:jc w:val="left"/>
        <w:tblInd w:w="28" w:type="dxa"/>
        <w:tblLayout w:type="fixed"/>
        <w:tblCellMar>
          <w:top w:w="28" w:type="dxa"/>
          <w:left w:w="28" w:type="dxa"/>
          <w:bottom w:w="28" w:type="dxa"/>
          <w:right w:w="28" w:type="dxa"/>
        </w:tblCellMar>
      </w:tblPr>
      <w:tblGrid>
        <w:gridCol w:w="2576"/>
        <w:gridCol w:w="1390"/>
        <w:gridCol w:w="2411"/>
      </w:tblGrid>
      <w:tr>
        <w:trPr>
          <w:tblHeader w:val="true"/>
        </w:trPr>
        <w:tc>
          <w:tcPr>
            <w:tcW w:w="2576" w:type="dxa"/>
            <w:tcBorders/>
            <w:vAlign w:val="center"/>
          </w:tcPr>
          <w:p>
            <w:pPr>
              <w:pStyle w:val="TableHeading"/>
              <w:suppressLineNumbers/>
              <w:shd w:fill="1F4E79" w:val="clear"/>
              <w:bidi w:val="0"/>
              <w:spacing w:before="120" w:after="120"/>
              <w:jc w:val="left"/>
              <w:rPr/>
            </w:pPr>
            <w:r>
              <w:rPr/>
              <w:t>Branch</w:t>
            </w:r>
          </w:p>
        </w:tc>
        <w:tc>
          <w:tcPr>
            <w:tcW w:w="1390" w:type="dxa"/>
            <w:tcBorders/>
            <w:vAlign w:val="center"/>
          </w:tcPr>
          <w:p>
            <w:pPr>
              <w:pStyle w:val="TableHeading"/>
              <w:suppressLineNumbers/>
              <w:shd w:fill="1F4E79" w:val="clear"/>
              <w:bidi w:val="0"/>
              <w:spacing w:before="120" w:after="120"/>
              <w:jc w:val="left"/>
              <w:rPr/>
            </w:pPr>
            <w:r>
              <w:rPr/>
              <w:t>Rounds</w:t>
            </w:r>
          </w:p>
        </w:tc>
        <w:tc>
          <w:tcPr>
            <w:tcW w:w="2411" w:type="dxa"/>
            <w:tcBorders/>
            <w:vAlign w:val="center"/>
          </w:tcPr>
          <w:p>
            <w:pPr>
              <w:pStyle w:val="TableHeading"/>
              <w:suppressLineNumbers/>
              <w:shd w:fill="1F4E79" w:val="clear"/>
              <w:bidi w:val="0"/>
              <w:spacing w:before="120" w:after="120"/>
              <w:jc w:val="left"/>
              <w:rPr/>
            </w:pPr>
            <w:r>
              <w:rPr/>
              <w:t>Findings fixed</w:t>
            </w:r>
          </w:p>
        </w:tc>
      </w:tr>
      <w:tr>
        <w:trPr/>
        <w:tc>
          <w:tcPr>
            <w:tcW w:w="2576" w:type="dxa"/>
            <w:tcBorders/>
            <w:vAlign w:val="center"/>
          </w:tcPr>
          <w:p>
            <w:pPr>
              <w:pStyle w:val="TableContents"/>
              <w:bidi w:val="0"/>
              <w:spacing w:before="120" w:after="120"/>
              <w:jc w:val="left"/>
              <w:rPr/>
            </w:pPr>
            <w:r>
              <w:rPr/>
              <w:t>Item 4, frontmatter YAML</w:t>
            </w:r>
          </w:p>
        </w:tc>
        <w:tc>
          <w:tcPr>
            <w:tcW w:w="1390" w:type="dxa"/>
            <w:tcBorders/>
            <w:vAlign w:val="center"/>
          </w:tcPr>
          <w:p>
            <w:pPr>
              <w:pStyle w:val="TableContents"/>
              <w:bidi w:val="0"/>
              <w:spacing w:before="120" w:after="120"/>
              <w:jc w:val="left"/>
              <w:rPr/>
            </w:pPr>
            <w:r>
              <w:rPr/>
              <w:t>1</w:t>
            </w:r>
          </w:p>
        </w:tc>
        <w:tc>
          <w:tcPr>
            <w:tcW w:w="2411" w:type="dxa"/>
            <w:tcBorders/>
            <w:vAlign w:val="center"/>
          </w:tcPr>
          <w:p>
            <w:pPr>
              <w:pStyle w:val="TableContents"/>
              <w:bidi w:val="0"/>
              <w:spacing w:before="120" w:after="120"/>
              <w:jc w:val="left"/>
              <w:rPr/>
            </w:pPr>
            <w:r>
              <w:rPr/>
              <w:t>2 FIX</w:t>
            </w:r>
          </w:p>
        </w:tc>
      </w:tr>
      <w:tr>
        <w:trPr/>
        <w:tc>
          <w:tcPr>
            <w:tcW w:w="2576" w:type="dxa"/>
            <w:tcBorders/>
            <w:vAlign w:val="center"/>
          </w:tcPr>
          <w:p>
            <w:pPr>
              <w:pStyle w:val="TableContents"/>
              <w:bidi w:val="0"/>
              <w:spacing w:before="120" w:after="120"/>
              <w:jc w:val="left"/>
              <w:rPr/>
            </w:pPr>
            <w:r>
              <w:rPr/>
              <w:t>Item 1, idle rule</w:t>
            </w:r>
          </w:p>
        </w:tc>
        <w:tc>
          <w:tcPr>
            <w:tcW w:w="1390" w:type="dxa"/>
            <w:tcBorders/>
            <w:vAlign w:val="center"/>
          </w:tcPr>
          <w:p>
            <w:pPr>
              <w:pStyle w:val="TableContents"/>
              <w:bidi w:val="0"/>
              <w:spacing w:before="120" w:after="120"/>
              <w:jc w:val="left"/>
              <w:rPr/>
            </w:pPr>
            <w:r>
              <w:rPr/>
              <w:t>4</w:t>
            </w:r>
          </w:p>
        </w:tc>
        <w:tc>
          <w:tcPr>
            <w:tcW w:w="2411" w:type="dxa"/>
            <w:tcBorders/>
            <w:vAlign w:val="center"/>
          </w:tcPr>
          <w:p>
            <w:pPr>
              <w:pStyle w:val="TableContents"/>
              <w:bidi w:val="0"/>
              <w:spacing w:before="120" w:after="120"/>
              <w:jc w:val="left"/>
              <w:rPr/>
            </w:pPr>
            <w:r>
              <w:rPr/>
              <w:t>15 FIX, 1 NIT</w:t>
            </w:r>
          </w:p>
        </w:tc>
      </w:tr>
      <w:tr>
        <w:trPr/>
        <w:tc>
          <w:tcPr>
            <w:tcW w:w="2576" w:type="dxa"/>
            <w:tcBorders/>
            <w:vAlign w:val="center"/>
          </w:tcPr>
          <w:p>
            <w:pPr>
              <w:pStyle w:val="TableContents"/>
              <w:bidi w:val="0"/>
              <w:spacing w:before="120" w:after="120"/>
              <w:jc w:val="left"/>
              <w:rPr/>
            </w:pPr>
            <w:r>
              <w:rPr/>
              <w:t>Item 3, plugin evals</w:t>
            </w:r>
          </w:p>
        </w:tc>
        <w:tc>
          <w:tcPr>
            <w:tcW w:w="1390" w:type="dxa"/>
            <w:tcBorders/>
            <w:vAlign w:val="center"/>
          </w:tcPr>
          <w:p>
            <w:pPr>
              <w:pStyle w:val="TableContents"/>
              <w:bidi w:val="0"/>
              <w:spacing w:before="120" w:after="120"/>
              <w:jc w:val="left"/>
              <w:rPr/>
            </w:pPr>
            <w:r>
              <w:rPr/>
              <w:t>7</w:t>
            </w:r>
          </w:p>
        </w:tc>
        <w:tc>
          <w:tcPr>
            <w:tcW w:w="2411" w:type="dxa"/>
            <w:tcBorders/>
            <w:vAlign w:val="center"/>
          </w:tcPr>
          <w:p>
            <w:pPr>
              <w:pStyle w:val="TableContents"/>
              <w:bidi w:val="0"/>
              <w:spacing w:before="120" w:after="120"/>
              <w:jc w:val="left"/>
              <w:rPr/>
            </w:pPr>
            <w:r>
              <w:rPr/>
              <w:t>1 BLOCK, 33 FIX, 2 NIT</w:t>
            </w:r>
          </w:p>
        </w:tc>
      </w:tr>
      <w:tr>
        <w:trPr/>
        <w:tc>
          <w:tcPr>
            <w:tcW w:w="2576" w:type="dxa"/>
            <w:tcBorders/>
            <w:vAlign w:val="center"/>
          </w:tcPr>
          <w:p>
            <w:pPr>
              <w:pStyle w:val="TableContents"/>
              <w:bidi w:val="0"/>
              <w:spacing w:before="120" w:after="120"/>
              <w:jc w:val="left"/>
              <w:rPr/>
            </w:pPr>
            <w:r>
              <w:rPr/>
              <w:t>Item 2, write guard</w:t>
            </w:r>
          </w:p>
        </w:tc>
        <w:tc>
          <w:tcPr>
            <w:tcW w:w="1390" w:type="dxa"/>
            <w:tcBorders/>
            <w:vAlign w:val="center"/>
          </w:tcPr>
          <w:p>
            <w:pPr>
              <w:pStyle w:val="TableContents"/>
              <w:bidi w:val="0"/>
              <w:spacing w:before="120" w:after="120"/>
              <w:jc w:val="left"/>
              <w:rPr/>
            </w:pPr>
            <w:r>
              <w:rPr/>
              <w:t>6 + specialist</w:t>
            </w:r>
          </w:p>
        </w:tc>
        <w:tc>
          <w:tcPr>
            <w:tcW w:w="2411" w:type="dxa"/>
            <w:tcBorders/>
            <w:vAlign w:val="center"/>
          </w:tcPr>
          <w:p>
            <w:pPr>
              <w:pStyle w:val="TableContents"/>
              <w:bidi w:val="0"/>
              <w:spacing w:before="120" w:after="120"/>
              <w:jc w:val="left"/>
              <w:rPr/>
            </w:pPr>
            <w:r>
              <w:rPr/>
              <w:t>14 BLOCK, 9 FIX</w:t>
            </w:r>
          </w:p>
        </w:tc>
      </w:tr>
      <w:tr>
        <w:trPr/>
        <w:tc>
          <w:tcPr>
            <w:tcW w:w="2576" w:type="dxa"/>
            <w:tcBorders/>
            <w:vAlign w:val="center"/>
          </w:tcPr>
          <w:p>
            <w:pPr>
              <w:pStyle w:val="TableContents"/>
              <w:bidi w:val="0"/>
              <w:spacing w:before="120" w:after="120"/>
              <w:jc w:val="left"/>
              <w:rPr/>
            </w:pPr>
            <w:r>
              <w:rPr/>
              <w:t>Item 7, agent examples</w:t>
            </w:r>
          </w:p>
        </w:tc>
        <w:tc>
          <w:tcPr>
            <w:tcW w:w="1390" w:type="dxa"/>
            <w:tcBorders/>
            <w:vAlign w:val="center"/>
          </w:tcPr>
          <w:p>
            <w:pPr>
              <w:pStyle w:val="TableContents"/>
              <w:bidi w:val="0"/>
              <w:spacing w:before="120" w:after="120"/>
              <w:jc w:val="left"/>
              <w:rPr/>
            </w:pPr>
            <w:r>
              <w:rPr/>
              <w:t>2</w:t>
            </w:r>
          </w:p>
        </w:tc>
        <w:tc>
          <w:tcPr>
            <w:tcW w:w="2411" w:type="dxa"/>
            <w:tcBorders/>
            <w:vAlign w:val="center"/>
          </w:tcPr>
          <w:p>
            <w:pPr>
              <w:pStyle w:val="TableContents"/>
              <w:bidi w:val="0"/>
              <w:spacing w:before="120" w:after="120"/>
              <w:jc w:val="left"/>
              <w:rPr/>
            </w:pPr>
            <w:r>
              <w:rPr/>
              <w:t>4 FIX</w:t>
            </w:r>
          </w:p>
        </w:tc>
      </w:tr>
      <w:tr>
        <w:trPr/>
        <w:tc>
          <w:tcPr>
            <w:tcW w:w="2576" w:type="dxa"/>
            <w:tcBorders/>
            <w:vAlign w:val="center"/>
          </w:tcPr>
          <w:p>
            <w:pPr>
              <w:pStyle w:val="TableContents"/>
              <w:bidi w:val="0"/>
              <w:spacing w:before="120" w:after="120"/>
              <w:jc w:val="left"/>
              <w:rPr/>
            </w:pPr>
            <w:r>
              <w:rPr/>
              <w:t>Stop gate</w:t>
            </w:r>
          </w:p>
        </w:tc>
        <w:tc>
          <w:tcPr>
            <w:tcW w:w="1390" w:type="dxa"/>
            <w:tcBorders/>
            <w:vAlign w:val="center"/>
          </w:tcPr>
          <w:p>
            <w:pPr>
              <w:pStyle w:val="TableContents"/>
              <w:bidi w:val="0"/>
              <w:spacing w:before="120" w:after="120"/>
              <w:jc w:val="left"/>
              <w:rPr/>
            </w:pPr>
            <w:r>
              <w:rPr/>
              <w:t>8 + specialist</w:t>
            </w:r>
          </w:p>
        </w:tc>
        <w:tc>
          <w:tcPr>
            <w:tcW w:w="2411" w:type="dxa"/>
            <w:tcBorders/>
            <w:vAlign w:val="center"/>
          </w:tcPr>
          <w:p>
            <w:pPr>
              <w:pStyle w:val="TableContents"/>
              <w:bidi w:val="0"/>
              <w:spacing w:before="120" w:after="120"/>
              <w:jc w:val="left"/>
              <w:rPr/>
            </w:pPr>
            <w:r>
              <w:rPr/>
              <w:t>23 BLOCK, 16 FIX, 1 NIT</w:t>
            </w:r>
          </w:p>
        </w:tc>
      </w:tr>
      <w:tr>
        <w:trPr/>
        <w:tc>
          <w:tcPr>
            <w:tcW w:w="2576" w:type="dxa"/>
            <w:tcBorders/>
            <w:vAlign w:val="center"/>
          </w:tcPr>
          <w:p>
            <w:pPr>
              <w:pStyle w:val="TableContents"/>
              <w:bidi w:val="0"/>
              <w:spacing w:before="120" w:after="120"/>
              <w:jc w:val="left"/>
              <w:rPr/>
            </w:pPr>
            <w:r>
              <w:rPr/>
              <w:t>T-0003, scope base</w:t>
            </w:r>
          </w:p>
        </w:tc>
        <w:tc>
          <w:tcPr>
            <w:tcW w:w="1390" w:type="dxa"/>
            <w:tcBorders/>
            <w:vAlign w:val="center"/>
          </w:tcPr>
          <w:p>
            <w:pPr>
              <w:pStyle w:val="TableContents"/>
              <w:bidi w:val="0"/>
              <w:spacing w:before="120" w:after="120"/>
              <w:jc w:val="left"/>
              <w:rPr/>
            </w:pPr>
            <w:r>
              <w:rPr/>
              <w:t>2</w:t>
            </w:r>
          </w:p>
        </w:tc>
        <w:tc>
          <w:tcPr>
            <w:tcW w:w="2411" w:type="dxa"/>
            <w:tcBorders/>
            <w:vAlign w:val="center"/>
          </w:tcPr>
          <w:p>
            <w:pPr>
              <w:pStyle w:val="TableContents"/>
              <w:bidi w:val="0"/>
              <w:spacing w:before="120" w:after="120"/>
              <w:jc w:val="left"/>
              <w:rPr/>
            </w:pPr>
            <w:r>
              <w:rPr/>
              <w:t>7 FIX</w:t>
            </w:r>
          </w:p>
        </w:tc>
      </w:tr>
    </w:tbl>
    <w:p>
      <w:pPr>
        <w:pStyle w:val="BodyText"/>
        <w:bidi w:val="0"/>
        <w:jc w:val="left"/>
        <w:rPr/>
      </w:pPr>
      <w:r>
        <w:rPr/>
        <w:t>51 review rows were written in two days: 48 BLOCK and 112 FIX findings, every one fixed with a test and sabotage-checked before merge. Two rules earned their keep: an unknown never collapses into the safe-looking value, and a check must fail on the null response. Items 2 and 3 spent most of their rounds on exactly those.</w:t>
      </w:r>
    </w:p>
    <w:p>
      <w:pPr>
        <w:pStyle w:val="Heading2"/>
        <w:bidi w:val="0"/>
        <w:jc w:val="left"/>
        <w:rPr/>
      </w:pPr>
      <w:r>
        <w:rPr/>
        <w:t>4. One month ago versus now</w:t>
      </w:r>
    </w:p>
    <w:tbl>
      <w:tblPr>
        <w:tblW w:w="5000" w:type="pct"/>
        <w:jc w:val="left"/>
        <w:tblInd w:w="28" w:type="dxa"/>
        <w:tblLayout w:type="fixed"/>
        <w:tblCellMar>
          <w:top w:w="28" w:type="dxa"/>
          <w:left w:w="28" w:type="dxa"/>
          <w:bottom w:w="28" w:type="dxa"/>
          <w:right w:w="28" w:type="dxa"/>
        </w:tblCellMar>
      </w:tblPr>
      <w:tblGrid>
        <w:gridCol w:w="2385"/>
        <w:gridCol w:w="2858"/>
        <w:gridCol w:w="5421"/>
      </w:tblGrid>
      <w:tr>
        <w:trPr>
          <w:tblHeader w:val="true"/>
        </w:trPr>
        <w:tc>
          <w:tcPr>
            <w:tcW w:w="2385" w:type="dxa"/>
            <w:tcBorders/>
            <w:vAlign w:val="center"/>
          </w:tcPr>
          <w:p>
            <w:pPr>
              <w:pStyle w:val="TableHeading"/>
              <w:suppressLineNumbers/>
              <w:shd w:fill="1F4E79" w:val="clear"/>
              <w:bidi w:val="0"/>
              <w:spacing w:before="120" w:after="120"/>
              <w:jc w:val="left"/>
              <w:rPr/>
            </w:pPr>
            <w:r>
              <w:rPr/>
              <w:t>Measure</w:t>
            </w:r>
          </w:p>
        </w:tc>
        <w:tc>
          <w:tcPr>
            <w:tcW w:w="2858" w:type="dxa"/>
            <w:tcBorders/>
            <w:vAlign w:val="center"/>
          </w:tcPr>
          <w:p>
            <w:pPr>
              <w:pStyle w:val="TableHeading"/>
              <w:suppressLineNumbers/>
              <w:shd w:fill="1F4E79" w:val="clear"/>
              <w:bidi w:val="0"/>
              <w:spacing w:before="120" w:after="120"/>
              <w:jc w:val="left"/>
              <w:rPr/>
            </w:pPr>
            <w:r>
              <w:rPr/>
              <w:t>19 August 2026</w:t>
            </w:r>
          </w:p>
        </w:tc>
        <w:tc>
          <w:tcPr>
            <w:tcW w:w="5421" w:type="dxa"/>
            <w:tcBorders/>
            <w:vAlign w:val="center"/>
          </w:tcPr>
          <w:p>
            <w:pPr>
              <w:pStyle w:val="TableHeading"/>
              <w:suppressLineNumbers/>
              <w:shd w:fill="1F4E79" w:val="clear"/>
              <w:bidi w:val="0"/>
              <w:spacing w:before="120" w:after="120"/>
              <w:jc w:val="left"/>
              <w:rPr/>
            </w:pPr>
            <w:r>
              <w:rPr/>
              <w:t>20 September 2026</w:t>
            </w:r>
          </w:p>
        </w:tc>
      </w:tr>
      <w:tr>
        <w:trPr/>
        <w:tc>
          <w:tcPr>
            <w:tcW w:w="2385" w:type="dxa"/>
            <w:tcBorders/>
            <w:vAlign w:val="center"/>
          </w:tcPr>
          <w:p>
            <w:pPr>
              <w:pStyle w:val="TableContents"/>
              <w:bidi w:val="0"/>
              <w:spacing w:before="120" w:after="120"/>
              <w:jc w:val="left"/>
              <w:rPr/>
            </w:pPr>
            <w:r>
              <w:rPr/>
              <w:t>Commits on main since</w:t>
            </w:r>
          </w:p>
        </w:tc>
        <w:tc>
          <w:tcPr>
            <w:tcW w:w="8279" w:type="dxa"/>
            <w:gridSpan w:val="2"/>
            <w:tcBorders/>
            <w:vAlign w:val="center"/>
          </w:tcPr>
          <w:p>
            <w:pPr>
              <w:pStyle w:val="TableContents"/>
              <w:bidi w:val="0"/>
              <w:spacing w:before="120" w:after="120"/>
              <w:jc w:val="left"/>
              <w:rPr/>
            </w:pPr>
            <w:r>
              <w:rPr/>
              <w:t>615, across 164 merged pull requests</w:t>
            </w:r>
          </w:p>
        </w:tc>
      </w:tr>
      <w:tr>
        <w:trPr/>
        <w:tc>
          <w:tcPr>
            <w:tcW w:w="2385" w:type="dxa"/>
            <w:tcBorders/>
            <w:vAlign w:val="center"/>
          </w:tcPr>
          <w:p>
            <w:pPr>
              <w:pStyle w:val="TableContents"/>
              <w:bidi w:val="0"/>
              <w:spacing w:before="120" w:after="120"/>
              <w:jc w:val="left"/>
              <w:rPr/>
            </w:pPr>
            <w:r>
              <w:rPr/>
              <w:t>Marketplace entries</w:t>
            </w:r>
          </w:p>
        </w:tc>
        <w:tc>
          <w:tcPr>
            <w:tcW w:w="2858" w:type="dxa"/>
            <w:tcBorders/>
            <w:vAlign w:val="center"/>
          </w:tcPr>
          <w:p>
            <w:pPr>
              <w:pStyle w:val="TableContents"/>
              <w:bidi w:val="0"/>
              <w:spacing w:before="120" w:after="120"/>
              <w:jc w:val="left"/>
              <w:rPr/>
            </w:pPr>
            <w:r>
              <w:rPr/>
              <w:t>25</w:t>
            </w:r>
          </w:p>
        </w:tc>
        <w:tc>
          <w:tcPr>
            <w:tcW w:w="5421" w:type="dxa"/>
            <w:tcBorders/>
            <w:vAlign w:val="center"/>
          </w:tcPr>
          <w:p>
            <w:pPr>
              <w:pStyle w:val="TableContents"/>
              <w:bidi w:val="0"/>
              <w:spacing w:before="120" w:after="120"/>
              <w:jc w:val="left"/>
              <w:rPr/>
            </w:pPr>
            <w:r>
              <w:rPr/>
              <w:t>41</w:t>
            </w:r>
          </w:p>
        </w:tc>
      </w:tr>
      <w:tr>
        <w:trPr/>
        <w:tc>
          <w:tcPr>
            <w:tcW w:w="2385" w:type="dxa"/>
            <w:tcBorders/>
            <w:vAlign w:val="center"/>
          </w:tcPr>
          <w:p>
            <w:pPr>
              <w:pStyle w:val="TableContents"/>
              <w:bidi w:val="0"/>
              <w:spacing w:before="120" w:after="120"/>
              <w:jc w:val="left"/>
              <w:rPr/>
            </w:pPr>
            <w:r>
              <w:rPr/>
              <w:t>Skills directories</w:t>
            </w:r>
          </w:p>
        </w:tc>
        <w:tc>
          <w:tcPr>
            <w:tcW w:w="2858" w:type="dxa"/>
            <w:tcBorders/>
            <w:vAlign w:val="center"/>
          </w:tcPr>
          <w:p>
            <w:pPr>
              <w:pStyle w:val="TableContents"/>
              <w:bidi w:val="0"/>
              <w:spacing w:before="120" w:after="120"/>
              <w:jc w:val="left"/>
              <w:rPr/>
            </w:pPr>
            <w:r>
              <w:rPr/>
              <w:t>25</w:t>
            </w:r>
          </w:p>
        </w:tc>
        <w:tc>
          <w:tcPr>
            <w:tcW w:w="5421" w:type="dxa"/>
            <w:tcBorders/>
            <w:vAlign w:val="center"/>
          </w:tcPr>
          <w:p>
            <w:pPr>
              <w:pStyle w:val="TableContents"/>
              <w:bidi w:val="0"/>
              <w:spacing w:before="120" w:after="120"/>
              <w:jc w:val="left"/>
              <w:rPr/>
            </w:pPr>
            <w:r>
              <w:rPr/>
              <w:t>36</w:t>
            </w:r>
          </w:p>
        </w:tc>
      </w:tr>
      <w:tr>
        <w:trPr/>
        <w:tc>
          <w:tcPr>
            <w:tcW w:w="2385" w:type="dxa"/>
            <w:tcBorders/>
            <w:vAlign w:val="center"/>
          </w:tcPr>
          <w:p>
            <w:pPr>
              <w:pStyle w:val="TableContents"/>
              <w:bidi w:val="0"/>
              <w:spacing w:before="120" w:after="120"/>
              <w:jc w:val="left"/>
              <w:rPr/>
            </w:pPr>
            <w:r>
              <w:rPr/>
              <w:t xml:space="preserve">Plugins under </w:t>
            </w:r>
            <w:r>
              <w:rPr>
                <w:rStyle w:val="SourceText"/>
              </w:rPr>
              <w:t>plugin/</w:t>
            </w:r>
          </w:p>
        </w:tc>
        <w:tc>
          <w:tcPr>
            <w:tcW w:w="2858" w:type="dxa"/>
            <w:tcBorders/>
            <w:vAlign w:val="center"/>
          </w:tcPr>
          <w:p>
            <w:pPr>
              <w:pStyle w:val="TableContents"/>
              <w:bidi w:val="0"/>
              <w:spacing w:before="120" w:after="120"/>
              <w:jc w:val="left"/>
              <w:rPr/>
            </w:pPr>
            <w:r>
              <w:rPr/>
              <w:t>none (directory did not exist)</w:t>
            </w:r>
          </w:p>
        </w:tc>
        <w:tc>
          <w:tcPr>
            <w:tcW w:w="5421" w:type="dxa"/>
            <w:tcBorders/>
            <w:vAlign w:val="center"/>
          </w:tcPr>
          <w:p>
            <w:pPr>
              <w:pStyle w:val="TableContents"/>
              <w:bidi w:val="0"/>
              <w:spacing w:before="120" w:after="120"/>
              <w:jc w:val="left"/>
              <w:rPr/>
            </w:pPr>
            <w:r>
              <w:rPr/>
              <w:t>5: crew, gizmoduck, localgpu, obsidian-vault, rule-of-two</w:t>
            </w:r>
          </w:p>
        </w:tc>
      </w:tr>
      <w:tr>
        <w:trPr/>
        <w:tc>
          <w:tcPr>
            <w:tcW w:w="2385" w:type="dxa"/>
            <w:tcBorders/>
            <w:vAlign w:val="center"/>
          </w:tcPr>
          <w:p>
            <w:pPr>
              <w:pStyle w:val="TableContents"/>
              <w:bidi w:val="0"/>
              <w:spacing w:before="120" w:after="120"/>
              <w:jc w:val="left"/>
              <w:rPr/>
            </w:pPr>
            <w:r>
              <w:rPr/>
              <w:t>Crew agents</w:t>
            </w:r>
          </w:p>
        </w:tc>
        <w:tc>
          <w:tcPr>
            <w:tcW w:w="2858" w:type="dxa"/>
            <w:tcBorders/>
            <w:vAlign w:val="center"/>
          </w:tcPr>
          <w:p>
            <w:pPr>
              <w:pStyle w:val="TableContents"/>
              <w:bidi w:val="0"/>
              <w:spacing w:before="120" w:after="120"/>
              <w:jc w:val="left"/>
              <w:rPr/>
            </w:pPr>
            <w:r>
              <w:rPr/>
              <w:t>0</w:t>
            </w:r>
          </w:p>
        </w:tc>
        <w:tc>
          <w:tcPr>
            <w:tcW w:w="5421" w:type="dxa"/>
            <w:tcBorders/>
            <w:vAlign w:val="center"/>
          </w:tcPr>
          <w:p>
            <w:pPr>
              <w:pStyle w:val="TableContents"/>
              <w:bidi w:val="0"/>
              <w:spacing w:before="120" w:after="120"/>
              <w:jc w:val="left"/>
              <w:rPr/>
            </w:pPr>
            <w:r>
              <w:rPr/>
              <w:t>54</w:t>
            </w:r>
          </w:p>
        </w:tc>
      </w:tr>
      <w:tr>
        <w:trPr/>
        <w:tc>
          <w:tcPr>
            <w:tcW w:w="2385" w:type="dxa"/>
            <w:tcBorders/>
            <w:vAlign w:val="center"/>
          </w:tcPr>
          <w:p>
            <w:pPr>
              <w:pStyle w:val="TableContents"/>
              <w:bidi w:val="0"/>
              <w:spacing w:before="120" w:after="120"/>
              <w:jc w:val="left"/>
              <w:rPr/>
            </w:pPr>
            <w:r>
              <w:rPr/>
              <w:t>Crew commands</w:t>
            </w:r>
          </w:p>
        </w:tc>
        <w:tc>
          <w:tcPr>
            <w:tcW w:w="2858" w:type="dxa"/>
            <w:tcBorders/>
            <w:vAlign w:val="center"/>
          </w:tcPr>
          <w:p>
            <w:pPr>
              <w:pStyle w:val="TableContents"/>
              <w:bidi w:val="0"/>
              <w:spacing w:before="120" w:after="120"/>
              <w:jc w:val="left"/>
              <w:rPr/>
            </w:pPr>
            <w:r>
              <w:rPr/>
              <w:t>0</w:t>
            </w:r>
          </w:p>
        </w:tc>
        <w:tc>
          <w:tcPr>
            <w:tcW w:w="5421" w:type="dxa"/>
            <w:tcBorders/>
            <w:vAlign w:val="center"/>
          </w:tcPr>
          <w:p>
            <w:pPr>
              <w:pStyle w:val="TableContents"/>
              <w:bidi w:val="0"/>
              <w:spacing w:before="120" w:after="120"/>
              <w:jc w:val="left"/>
              <w:rPr/>
            </w:pPr>
            <w:r>
              <w:rPr/>
              <w:t>28</w:t>
            </w:r>
          </w:p>
        </w:tc>
      </w:tr>
      <w:tr>
        <w:trPr/>
        <w:tc>
          <w:tcPr>
            <w:tcW w:w="2385" w:type="dxa"/>
            <w:tcBorders/>
            <w:vAlign w:val="center"/>
          </w:tcPr>
          <w:p>
            <w:pPr>
              <w:pStyle w:val="TableContents"/>
              <w:bidi w:val="0"/>
              <w:spacing w:before="120" w:after="120"/>
              <w:jc w:val="left"/>
              <w:rPr/>
            </w:pPr>
            <w:r>
              <w:rPr/>
              <w:t>Crew skills</w:t>
            </w:r>
          </w:p>
        </w:tc>
        <w:tc>
          <w:tcPr>
            <w:tcW w:w="2858" w:type="dxa"/>
            <w:tcBorders/>
            <w:vAlign w:val="center"/>
          </w:tcPr>
          <w:p>
            <w:pPr>
              <w:pStyle w:val="TableContents"/>
              <w:bidi w:val="0"/>
              <w:spacing w:before="120" w:after="120"/>
              <w:jc w:val="left"/>
              <w:rPr/>
            </w:pPr>
            <w:r>
              <w:rPr/>
              <w:t>0</w:t>
            </w:r>
          </w:p>
        </w:tc>
        <w:tc>
          <w:tcPr>
            <w:tcW w:w="5421" w:type="dxa"/>
            <w:tcBorders/>
            <w:vAlign w:val="center"/>
          </w:tcPr>
          <w:p>
            <w:pPr>
              <w:pStyle w:val="TableContents"/>
              <w:bidi w:val="0"/>
              <w:spacing w:before="120" w:after="120"/>
              <w:jc w:val="left"/>
              <w:rPr/>
            </w:pPr>
            <w:r>
              <w:rPr/>
              <w:t>20</w:t>
            </w:r>
          </w:p>
        </w:tc>
      </w:tr>
      <w:tr>
        <w:trPr/>
        <w:tc>
          <w:tcPr>
            <w:tcW w:w="2385" w:type="dxa"/>
            <w:tcBorders/>
            <w:vAlign w:val="center"/>
          </w:tcPr>
          <w:p>
            <w:pPr>
              <w:pStyle w:val="TableContents"/>
              <w:bidi w:val="0"/>
              <w:spacing w:before="120" w:after="120"/>
              <w:jc w:val="left"/>
              <w:rPr/>
            </w:pPr>
            <w:r>
              <w:rPr/>
              <w:t>Crew test modules</w:t>
            </w:r>
          </w:p>
        </w:tc>
        <w:tc>
          <w:tcPr>
            <w:tcW w:w="2858" w:type="dxa"/>
            <w:tcBorders/>
            <w:vAlign w:val="center"/>
          </w:tcPr>
          <w:p>
            <w:pPr>
              <w:pStyle w:val="TableContents"/>
              <w:bidi w:val="0"/>
              <w:spacing w:before="120" w:after="120"/>
              <w:jc w:val="left"/>
              <w:rPr/>
            </w:pPr>
            <w:r>
              <w:rPr/>
              <w:t>0</w:t>
            </w:r>
          </w:p>
        </w:tc>
        <w:tc>
          <w:tcPr>
            <w:tcW w:w="5421" w:type="dxa"/>
            <w:tcBorders/>
            <w:vAlign w:val="center"/>
          </w:tcPr>
          <w:p>
            <w:pPr>
              <w:pStyle w:val="TableContents"/>
              <w:bidi w:val="0"/>
              <w:spacing w:before="120" w:after="120"/>
              <w:jc w:val="left"/>
              <w:rPr/>
            </w:pPr>
            <w:r>
              <w:rPr/>
              <w:t>53</w:t>
            </w:r>
          </w:p>
        </w:tc>
      </w:tr>
      <w:tr>
        <w:trPr/>
        <w:tc>
          <w:tcPr>
            <w:tcW w:w="2385" w:type="dxa"/>
            <w:tcBorders/>
            <w:vAlign w:val="center"/>
          </w:tcPr>
          <w:p>
            <w:pPr>
              <w:pStyle w:val="TableContents"/>
              <w:bidi w:val="0"/>
              <w:spacing w:before="120" w:after="120"/>
              <w:jc w:val="left"/>
              <w:rPr/>
            </w:pPr>
            <w:r>
              <w:rPr/>
              <w:t>Crew hook scripts</w:t>
            </w:r>
          </w:p>
        </w:tc>
        <w:tc>
          <w:tcPr>
            <w:tcW w:w="2858" w:type="dxa"/>
            <w:tcBorders/>
            <w:vAlign w:val="center"/>
          </w:tcPr>
          <w:p>
            <w:pPr>
              <w:pStyle w:val="TableContents"/>
              <w:bidi w:val="0"/>
              <w:spacing w:before="120" w:after="120"/>
              <w:jc w:val="left"/>
              <w:rPr/>
            </w:pPr>
            <w:r>
              <w:rPr/>
              <w:t>0</w:t>
            </w:r>
          </w:p>
        </w:tc>
        <w:tc>
          <w:tcPr>
            <w:tcW w:w="5421" w:type="dxa"/>
            <w:tcBorders/>
            <w:vAlign w:val="center"/>
          </w:tcPr>
          <w:p>
            <w:pPr>
              <w:pStyle w:val="TableContents"/>
              <w:bidi w:val="0"/>
              <w:spacing w:before="120" w:after="120"/>
              <w:jc w:val="left"/>
              <w:rPr/>
            </w:pPr>
            <w:r>
              <w:rPr/>
              <w:t>43</w:t>
            </w:r>
          </w:p>
        </w:tc>
      </w:tr>
      <w:tr>
        <w:trPr/>
        <w:tc>
          <w:tcPr>
            <w:tcW w:w="2385" w:type="dxa"/>
            <w:tcBorders/>
            <w:vAlign w:val="center"/>
          </w:tcPr>
          <w:p>
            <w:pPr>
              <w:pStyle w:val="TableContents"/>
              <w:bidi w:val="0"/>
              <w:spacing w:before="120" w:after="120"/>
              <w:jc w:val="left"/>
              <w:rPr/>
            </w:pPr>
            <w:r>
              <w:rPr/>
              <w:t>Crew version</w:t>
            </w:r>
          </w:p>
        </w:tc>
        <w:tc>
          <w:tcPr>
            <w:tcW w:w="2858" w:type="dxa"/>
            <w:tcBorders/>
            <w:vAlign w:val="center"/>
          </w:tcPr>
          <w:p>
            <w:pPr>
              <w:pStyle w:val="TableContents"/>
              <w:bidi w:val="0"/>
              <w:spacing w:before="120" w:after="120"/>
              <w:jc w:val="left"/>
              <w:rPr/>
            </w:pPr>
            <w:r>
              <w:rPr/>
              <w:t>none</w:t>
            </w:r>
          </w:p>
        </w:tc>
        <w:tc>
          <w:tcPr>
            <w:tcW w:w="5421" w:type="dxa"/>
            <w:tcBorders/>
            <w:vAlign w:val="center"/>
          </w:tcPr>
          <w:p>
            <w:pPr>
              <w:pStyle w:val="TableContents"/>
              <w:bidi w:val="0"/>
              <w:spacing w:before="120" w:after="120"/>
              <w:jc w:val="left"/>
              <w:rPr/>
            </w:pPr>
            <w:r>
              <w:rPr/>
              <w:t>0.19.94</w:t>
            </w:r>
          </w:p>
        </w:tc>
      </w:tr>
      <w:tr>
        <w:trPr/>
        <w:tc>
          <w:tcPr>
            <w:tcW w:w="2385" w:type="dxa"/>
            <w:tcBorders/>
            <w:vAlign w:val="center"/>
          </w:tcPr>
          <w:p>
            <w:pPr>
              <w:pStyle w:val="TableContents"/>
              <w:bidi w:val="0"/>
              <w:spacing w:before="120" w:after="120"/>
              <w:jc w:val="left"/>
              <w:rPr/>
            </w:pPr>
            <w:r>
              <w:rPr/>
              <w:t>Tracked content</w:t>
            </w:r>
          </w:p>
        </w:tc>
        <w:tc>
          <w:tcPr>
            <w:tcW w:w="2858" w:type="dxa"/>
            <w:tcBorders/>
            <w:vAlign w:val="center"/>
          </w:tcPr>
          <w:p>
            <w:pPr>
              <w:pStyle w:val="TableContents"/>
              <w:bidi w:val="0"/>
              <w:spacing w:before="120" w:after="120"/>
              <w:jc w:val="left"/>
              <w:rPr/>
            </w:pPr>
            <w:r>
              <w:rPr/>
              <w:t>1.9 MB</w:t>
            </w:r>
          </w:p>
        </w:tc>
        <w:tc>
          <w:tcPr>
            <w:tcW w:w="5421" w:type="dxa"/>
            <w:tcBorders/>
            <w:vAlign w:val="center"/>
          </w:tcPr>
          <w:p>
            <w:pPr>
              <w:pStyle w:val="TableContents"/>
              <w:bidi w:val="0"/>
              <w:spacing w:before="120" w:after="120"/>
              <w:jc w:val="left"/>
              <w:rPr/>
            </w:pPr>
            <w:r>
              <w:rPr/>
              <w:t>24.7 MB (the code graph accounts for most of it)</w:t>
            </w:r>
          </w:p>
        </w:tc>
      </w:tr>
    </w:tbl>
    <w:p>
      <w:pPr>
        <w:pStyle w:val="Heading2"/>
        <w:bidi w:val="0"/>
        <w:jc w:val="left"/>
        <w:rPr/>
      </w:pPr>
      <w:r>
        <w:rPr/>
        <w:t>5. What is still open</w:t>
      </w:r>
    </w:p>
    <w:p>
      <w:pPr>
        <w:pStyle w:val="BodyText"/>
        <w:numPr>
          <w:ilvl w:val="0"/>
          <w:numId w:val="1"/>
        </w:numPr>
        <w:tabs>
          <w:tab w:val="clear" w:pos="1134"/>
          <w:tab w:val="left" w:pos="829" w:leader="none"/>
        </w:tabs>
        <w:bidi w:val="0"/>
        <w:spacing w:before="120" w:after="0"/>
        <w:ind w:hanging="283" w:left="829"/>
        <w:jc w:val="left"/>
        <w:rPr/>
      </w:pPr>
      <w:r>
        <w:rPr/>
        <w:t xml:space="preserve">T-0003 (crew 0.19.95) is rebased and gated; it merges right after this report. </w:t>
      </w:r>
    </w:p>
    <w:p>
      <w:pPr>
        <w:pStyle w:val="BodyText"/>
        <w:numPr>
          <w:ilvl w:val="0"/>
          <w:numId w:val="1"/>
        </w:numPr>
        <w:tabs>
          <w:tab w:val="clear" w:pos="1134"/>
          <w:tab w:val="left" w:pos="829" w:leader="none"/>
        </w:tabs>
        <w:bidi w:val="0"/>
        <w:spacing w:before="120" w:after="0"/>
        <w:ind w:hanging="283" w:left="829"/>
        <w:jc w:val="left"/>
        <w:rPr/>
      </w:pPr>
      <w:r>
        <w:rPr/>
        <w:t xml:space="preserve">Item 11, the fix list: the developer role's commit rule (resolved by T-0003), silent model routing for developer roles, UTF-8 stderr in the hook scripts, the marketplace checker crashing on an unstaged deletion, a load-sensitive timing test, PM-dispatched developers not being resumable by id, the install script skipping </w:t>
      </w:r>
      <w:r>
        <w:rPr>
          <w:rStyle w:val="SourceText"/>
        </w:rPr>
        <w:t>plugin/*</w:t>
      </w:r>
      <w:r>
        <w:rPr/>
        <w:t xml:space="preserve">, and one backwards sentence in CLAUDE.md. </w:t>
      </w:r>
    </w:p>
    <w:p>
      <w:pPr>
        <w:pStyle w:val="BodyText"/>
        <w:numPr>
          <w:ilvl w:val="0"/>
          <w:numId w:val="1"/>
        </w:numPr>
        <w:tabs>
          <w:tab w:val="clear" w:pos="1134"/>
          <w:tab w:val="left" w:pos="829" w:leader="none"/>
        </w:tabs>
        <w:bidi w:val="0"/>
        <w:spacing w:before="120" w:after="0"/>
        <w:ind w:hanging="283" w:left="829"/>
        <w:jc w:val="left"/>
        <w:rPr/>
      </w:pPr>
      <w:r>
        <w:rPr/>
        <w:t xml:space="preserve">Local </w:t>
      </w:r>
      <w:r>
        <w:rPr>
          <w:rStyle w:val="SourceText"/>
        </w:rPr>
        <w:t>main</w:t>
      </w:r>
      <w:r>
        <w:rPr/>
        <w:t xml:space="preserve"> in this checkout carries four unpushed commits from another session, one of which fails pylint; that session moves them to their own worktree. </w:t>
      </w:r>
    </w:p>
    <w:p>
      <w:pPr>
        <w:pStyle w:val="BodyText"/>
        <w:numPr>
          <w:ilvl w:val="0"/>
          <w:numId w:val="1"/>
        </w:numPr>
        <w:tabs>
          <w:tab w:val="clear" w:pos="1134"/>
          <w:tab w:val="left" w:pos="829" w:leader="none"/>
        </w:tabs>
        <w:bidi w:val="0"/>
        <w:ind w:hanging="283" w:left="829"/>
        <w:jc w:val="left"/>
        <w:rPr/>
      </w:pPr>
      <w:r>
        <w:rPr/>
        <w:t xml:space="preserve">The Stop gate's effect on live sessions is not yet measured; TheSelectSource's rules 0 to 9 still need an owner's decision on </w:t>
      </w:r>
      <w:r>
        <w:rPr>
          <w:rStyle w:val="SourceText"/>
        </w:rPr>
        <w:t>--ci</w:t>
      </w:r>
      <w:r>
        <w:rPr/>
        <w:t xml:space="preserve">. </w:t>
      </w:r>
    </w:p>
    <w:p>
      <w:pPr>
        <w:pStyle w:val="Heading2"/>
        <w:bidi w:val="0"/>
        <w:jc w:val="left"/>
        <w:rPr/>
      </w:pPr>
      <w:r>
        <w:rPr/>
        <w:t>6. Lessons recorded in the repository</w:t>
      </w:r>
    </w:p>
    <w:p>
      <w:pPr>
        <w:pStyle w:val="BodyText"/>
        <w:numPr>
          <w:ilvl w:val="0"/>
          <w:numId w:val="2"/>
        </w:numPr>
        <w:tabs>
          <w:tab w:val="clear" w:pos="1134"/>
          <w:tab w:val="left" w:pos="829" w:leader="none"/>
        </w:tabs>
        <w:bidi w:val="0"/>
        <w:spacing w:before="120" w:after="0"/>
        <w:ind w:hanging="283" w:left="829"/>
        <w:jc w:val="left"/>
        <w:rPr/>
      </w:pPr>
      <w:r>
        <w:rPr/>
        <w:t xml:space="preserve">Static analysis of shell is an arms race; inspection may only reject. </w:t>
      </w:r>
    </w:p>
    <w:p>
      <w:pPr>
        <w:pStyle w:val="BodyText"/>
        <w:numPr>
          <w:ilvl w:val="0"/>
          <w:numId w:val="2"/>
        </w:numPr>
        <w:tabs>
          <w:tab w:val="clear" w:pos="1134"/>
          <w:tab w:val="left" w:pos="829" w:leader="none"/>
        </w:tabs>
        <w:bidi w:val="0"/>
        <w:spacing w:before="120" w:after="0"/>
        <w:ind w:hanging="283" w:left="829"/>
        <w:jc w:val="left"/>
        <w:rPr/>
      </w:pPr>
      <w:r>
        <w:rPr/>
        <w:t xml:space="preserve">A watcher keyed on a completion marker can spin forever after a process reap; key it on the output going quiet as well. </w:t>
      </w:r>
    </w:p>
    <w:p>
      <w:pPr>
        <w:pStyle w:val="BodyText"/>
        <w:numPr>
          <w:ilvl w:val="0"/>
          <w:numId w:val="2"/>
        </w:numPr>
        <w:tabs>
          <w:tab w:val="clear" w:pos="1134"/>
          <w:tab w:val="left" w:pos="829" w:leader="none"/>
        </w:tabs>
        <w:bidi w:val="0"/>
        <w:spacing w:before="120" w:after="0"/>
        <w:ind w:hanging="283" w:left="829"/>
        <w:jc w:val="left"/>
        <w:rPr/>
      </w:pPr>
      <w:r>
        <w:rPr/>
        <w:t xml:space="preserve">Git Bash's </w:t>
      </w:r>
      <w:r>
        <w:rPr>
          <w:rStyle w:val="SourceText"/>
        </w:rPr>
        <w:t>timeout</w:t>
      </w:r>
      <w:r>
        <w:rPr/>
        <w:t xml:space="preserve"> reports 124 and leaves the native Python running; kill by PID. </w:t>
      </w:r>
    </w:p>
    <w:p>
      <w:pPr>
        <w:pStyle w:val="BodyText"/>
        <w:numPr>
          <w:ilvl w:val="0"/>
          <w:numId w:val="2"/>
        </w:numPr>
        <w:tabs>
          <w:tab w:val="clear" w:pos="1134"/>
          <w:tab w:val="left" w:pos="829" w:leader="none"/>
        </w:tabs>
        <w:bidi w:val="0"/>
        <w:spacing w:before="120" w:after="0"/>
        <w:ind w:hanging="283" w:left="829"/>
        <w:jc w:val="left"/>
        <w:rPr/>
      </w:pPr>
      <w:r>
        <w:rPr/>
        <w:t xml:space="preserve">Any multi-commit plugin branch fails the version-set check by construction; squash-merge it. </w:t>
      </w:r>
    </w:p>
    <w:p>
      <w:pPr>
        <w:pStyle w:val="BodyText"/>
        <w:numPr>
          <w:ilvl w:val="0"/>
          <w:numId w:val="2"/>
        </w:numPr>
        <w:tabs>
          <w:tab w:val="clear" w:pos="1134"/>
          <w:tab w:val="left" w:pos="829" w:leader="none"/>
        </w:tabs>
        <w:bidi w:val="0"/>
        <w:spacing w:before="120" w:after="0"/>
        <w:ind w:hanging="283" w:left="829"/>
        <w:jc w:val="left"/>
        <w:rPr/>
      </w:pPr>
      <w:r>
        <w:rPr/>
        <w:t xml:space="preserve">A CHANGELOG union across commits that rewrite one entry keeps stale text; rebuild from main plus the branch's net block. </w:t>
      </w:r>
    </w:p>
    <w:p>
      <w:pPr>
        <w:pStyle w:val="BodyText"/>
        <w:numPr>
          <w:ilvl w:val="0"/>
          <w:numId w:val="2"/>
        </w:numPr>
        <w:tabs>
          <w:tab w:val="clear" w:pos="1134"/>
          <w:tab w:val="left" w:pos="829" w:leader="none"/>
        </w:tabs>
        <w:bidi w:val="0"/>
        <w:ind w:hanging="283" w:left="829"/>
        <w:jc w:val="left"/>
        <w:rPr/>
      </w:pPr>
      <w:r>
        <w:rPr/>
        <w:t xml:space="preserve">A second session committing to local main while a merge sequence runs means every rebase must target </w:t>
      </w:r>
      <w:r>
        <w:rPr>
          <w:rStyle w:val="SourceText"/>
        </w:rPr>
        <w:t>origin/main</w:t>
      </w:r>
      <w:r>
        <w:rPr/>
        <w:t xml:space="preserve">. </w:t>
      </w:r>
    </w:p>
    <w:p>
      <w:pPr>
        <w:pStyle w:val="BodyTextmuted"/>
        <w:bidi w:val="0"/>
        <w:spacing w:before="120" w:after="120"/>
        <w:jc w:val="left"/>
        <w:rPr/>
      </w:pPr>
      <w:r>
        <w:rPr/>
        <w:t xml:space="preserve">Provenance: PR numbers from GitHub; counts from </w:t>
      </w:r>
      <w:r>
        <w:rPr>
          <w:rStyle w:val="SourceText"/>
        </w:rPr>
        <w:t>git ls-tree</w:t>
      </w:r>
      <w:r>
        <w:rPr/>
        <w:t xml:space="preserve"> at the two commits named above; review rows from </w:t>
      </w:r>
      <w:r>
        <w:rPr>
          <w:rStyle w:val="SourceText"/>
        </w:rPr>
        <w:t>.crew/metrics.md</w:t>
      </w:r>
      <w:r>
        <w:rPr/>
        <w:t>. Not verified: live Stop timings on other machines.</w:t>
      </w:r>
    </w:p>
    <w:sectPr>
      <w:type w:val="nextPage"/>
      <w:pgSz w:w="12240" w:h="15840"/>
      <w:pgMar w:left="1440" w:right="144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before="1134" w:after="1134"/>
      <w:ind w:left="1134" w:right="1134"/>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5C6670"/>
      </w:pBdr>
      <w:spacing w:before="480" w:after="12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6670"/>
      <w:sz w:val="19"/>
      <w:szCs w:val="19"/>
    </w:rPr>
  </w:style>
  <w:style w:type="paragraph" w:styleId="TableHeading">
    <w:name w:val="Table Heading"/>
    <w:basedOn w:val="TableContents"/>
    <w:qFormat/>
    <w:pPr>
      <w:suppressLineNumbers/>
      <w:shd w:fill="1F4E79" w:val="clear"/>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Crew progress report: 19 to 20 September 2026</dc:title>
</cp:coreProperties>
</file>

<file path=docProps/custom.xml><?xml version="1.0" encoding="utf-8"?>
<Properties xmlns="http://schemas.openxmlformats.org/officeDocument/2006/custom-properties" xmlns:vt="http://schemas.openxmlformats.org/officeDocument/2006/docPropsVTypes"/>
</file>