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11339" w:type="dxa"/>
        <w:jc w:val="left"/>
        <w:tblInd w:w="28" w:type="dxa"/>
        <w:tblLayout w:type="fixed"/>
        <w:tblCellMar>
          <w:top w:w="28" w:type="dxa"/>
          <w:left w:w="28" w:type="dxa"/>
          <w:bottom w:w="28" w:type="dxa"/>
          <w:right w:w="28" w:type="dxa"/>
        </w:tblCellMar>
      </w:tblPr>
      <w:tblGrid>
        <w:gridCol w:w="3902"/>
        <w:gridCol w:w="2862"/>
        <w:gridCol w:w="4575"/>
      </w:tblGrid>
      <w:tr>
        <w:trPr>
          <w:tblHeader w:val="true"/>
        </w:trPr>
        <w:tc>
          <w:tcPr>
            <w:tcW w:w="3902" w:type="dxa"/>
            <w:tcBorders/>
            <w:vAlign w:val="center"/>
          </w:tcPr>
          <w:p>
            <w:pPr>
              <w:pStyle w:val="TableHeading"/>
              <w:suppressLineNumbers/>
              <w:shd w:fill="434C5E" w:val="clear"/>
              <w:bidi w:val="0"/>
              <w:spacing w:before="120" w:after="120"/>
              <w:jc w:val="left"/>
              <w:rPr/>
            </w:pPr>
            <w:r>
              <w:rPr/>
              <w:t>Surface</w:t>
            </w:r>
          </w:p>
        </w:tc>
        <w:tc>
          <w:tcPr>
            <w:tcW w:w="2862" w:type="dxa"/>
            <w:tcBorders/>
            <w:vAlign w:val="center"/>
          </w:tcPr>
          <w:p>
            <w:pPr>
              <w:pStyle w:val="TableHeading"/>
              <w:suppressLineNumbers/>
              <w:shd w:fill="434C5E" w:val="clear"/>
              <w:bidi w:val="0"/>
              <w:spacing w:before="120" w:after="120"/>
              <w:jc w:val="left"/>
              <w:rPr/>
            </w:pPr>
            <w:r>
              <w:rPr/>
              <w:t>Claude Code</w:t>
            </w:r>
          </w:p>
        </w:tc>
        <w:tc>
          <w:tcPr>
            <w:tcW w:w="4575" w:type="dxa"/>
            <w:tcBorders/>
            <w:vAlign w:val="center"/>
          </w:tcPr>
          <w:p>
            <w:pPr>
              <w:pStyle w:val="TableHeading"/>
              <w:suppressLineNumbers/>
              <w:shd w:fill="434C5E" w:val="clear"/>
              <w:bidi w:val="0"/>
              <w:spacing w:before="120" w:after="120"/>
              <w:jc w:val="left"/>
              <w:rPr/>
            </w:pPr>
            <w:r>
              <w:rPr/>
              <w:t>Codex</w:t>
            </w:r>
          </w:p>
        </w:tc>
      </w:tr>
      <w:tr>
        <w:trPr/>
        <w:tc>
          <w:tcPr>
            <w:tcW w:w="3902"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2862"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4575" w:type="dxa"/>
            <w:tcBorders/>
            <w:vAlign w:val="center"/>
          </w:tcPr>
          <w:p>
            <w:pPr>
              <w:pStyle w:val="TableContents"/>
              <w:shd w:fill="2E3440" w:val="clear"/>
              <w:bidi w:val="0"/>
              <w:spacing w:before="120" w:after="120"/>
              <w:jc w:val="left"/>
              <w:rPr/>
            </w:pPr>
            <w:r>
              <w:rPr/>
              <w:t>natively</w:t>
            </w:r>
          </w:p>
        </w:tc>
      </w:tr>
      <w:tr>
        <w:trPr/>
        <w:tc>
          <w:tcPr>
            <w:tcW w:w="3902"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2862" w:type="dxa"/>
            <w:tcBorders/>
            <w:vAlign w:val="center"/>
          </w:tcPr>
          <w:p>
            <w:pPr>
              <w:pStyle w:val="TableContents"/>
              <w:shd w:fill="2E3440" w:val="clear"/>
              <w:bidi w:val="0"/>
              <w:spacing w:before="120" w:after="120"/>
              <w:jc w:val="left"/>
              <w:rPr/>
            </w:pPr>
            <w:r>
              <w:rPr/>
              <w:t>yes, when a matching file is read</w:t>
            </w:r>
          </w:p>
        </w:tc>
        <w:tc>
          <w:tcPr>
            <w:tcW w:w="4575"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3902" w:type="dxa"/>
            <w:tcBorders/>
            <w:vAlign w:val="center"/>
          </w:tcPr>
          <w:p>
            <w:pPr>
              <w:pStyle w:val="TableContents"/>
              <w:shd w:fill="2E3440" w:val="clear"/>
              <w:bidi w:val="0"/>
              <w:spacing w:before="120" w:after="120"/>
              <w:jc w:val="left"/>
              <w:rPr/>
            </w:pPr>
            <w:r>
              <w:rPr/>
              <w:t>crew's context hook</w:t>
            </w:r>
          </w:p>
        </w:tc>
        <w:tc>
          <w:tcPr>
            <w:tcW w:w="2862"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4575"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3902" w:type="dxa"/>
            <w:tcBorders/>
            <w:vAlign w:val="center"/>
          </w:tcPr>
          <w:p>
            <w:pPr>
              <w:pStyle w:val="TableContents"/>
              <w:shd w:fill="2E3440" w:val="clear"/>
              <w:bidi w:val="0"/>
              <w:spacing w:before="120" w:after="120"/>
              <w:jc w:val="left"/>
              <w:rPr/>
            </w:pPr>
            <w:r>
              <w:rPr>
                <w:rStyle w:val="SourceText"/>
              </w:rPr>
              <w:t>CLAUDE.md</w:t>
            </w:r>
          </w:p>
        </w:tc>
        <w:tc>
          <w:tcPr>
            <w:tcW w:w="2862" w:type="dxa"/>
            <w:tcBorders/>
            <w:vAlign w:val="center"/>
          </w:tcPr>
          <w:p>
            <w:pPr>
              <w:pStyle w:val="TableContents"/>
              <w:shd w:fill="2E3440" w:val="clear"/>
              <w:bidi w:val="0"/>
              <w:spacing w:before="120" w:after="120"/>
              <w:jc w:val="left"/>
              <w:rPr/>
            </w:pPr>
            <w:r>
              <w:rPr/>
              <w:t>natively</w:t>
            </w:r>
          </w:p>
        </w:tc>
        <w:tc>
          <w:tcPr>
            <w:tcW w:w="4575"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only. </w:t>
      </w:r>
      <w:r>
        <w:rPr>
          <w:rStyle w:val="Strong"/>
        </w:rPr>
        <w:t xml:space="preserve">No </w:t>
      </w:r>
      <w:r>
        <w:rPr>
          <w:rStyle w:val="SourceText"/>
        </w:rPr>
        <w:t>[profiles.*]</w:t>
      </w:r>
      <w:r>
        <w:rPr>
          <w:rStyle w:val="Strong"/>
        </w:rPr>
        <w:t xml:space="preserve"> table</w:t>
      </w:r>
      <w:r>
        <w:rPr/>
        <w:t xml:space="preserve"> -- MEASURED on codex-cli 0.154.0: </w:t>
      </w:r>
      <w:r>
        <w:rPr>
          <w:rStyle w:val="SourceText"/>
        </w:rPr>
        <w:t>profiles</w:t>
      </w:r>
      <w:r>
        <w:rPr/>
        <w:t xml:space="preserve"> is on Codex's own project-local config denylist and is stripped from this file every time it loads, trusted or not, so a </w:t>
      </w:r>
      <w:r>
        <w:rPr>
          <w:rStyle w:val="SourceText"/>
        </w:rPr>
        <w:t>review</w:t>
      </w:r>
      <w:r>
        <w:rPr/>
        <w:t>/</w:t>
      </w:r>
      <w:r>
        <w:rPr>
          <w:rStyle w:val="SourceText"/>
        </w:rPr>
        <w:t>work</w:t>
      </w:r>
      <w:r>
        <w:rPr/>
        <w:t xml:space="preserve"> profile defined here would never apply. Codex reads project config only for a </w:t>
      </w:r>
      <w:r>
        <w:rPr>
          <w:rStyle w:val="Strong"/>
        </w:rPr>
        <w:t>trusted</w:t>
      </w:r>
      <w:r>
        <w:rPr/>
        <w:t xml:space="preserve"> project, and only that project-config subset survives the strip. </w:t>
      </w:r>
    </w:p>
    <w:p>
      <w:pPr>
        <w:pStyle w:val="Heading2"/>
        <w:bidi w:val="0"/>
        <w:ind w:hanging="0" w:left="0" w:right="0"/>
        <w:jc w:val="left"/>
        <w:rPr/>
      </w:pPr>
      <w:bookmarkStart w:id="3" w:name="review-and-work"/>
      <w:bookmarkEnd w:id="3"/>
      <w:r>
        <w:rPr/>
        <w:t>Review and Work</w:t>
      </w:r>
    </w:p>
    <w:p>
      <w:pPr>
        <w:pStyle w:val="BodyText"/>
        <w:bidi w:val="0"/>
        <w:jc w:val="left"/>
        <w:rPr/>
      </w:pPr>
      <w:r>
        <w:rPr/>
        <w:t xml:space="preserve">There are no project-scoped </w:t>
      </w:r>
      <w:r>
        <w:rPr>
          <w:rStyle w:val="SourceText"/>
        </w:rPr>
        <w:t>review</w:t>
      </w:r>
      <w:r>
        <w:rPr/>
        <w:t>/</w:t>
      </w:r>
      <w:r>
        <w:rPr>
          <w:rStyle w:val="SourceText"/>
        </w:rPr>
        <w:t>work</w:t>
      </w:r>
      <w:r>
        <w:rPr/>
        <w:t xml:space="preserve"> profiles to select with </w:t>
      </w:r>
      <w:r>
        <w:rPr>
          <w:rStyle w:val="SourceText"/>
        </w:rPr>
        <w:t>--profile</w:t>
      </w:r>
      <w:r>
        <w:rPr/>
        <w:t xml:space="preserve"> -- pass the settings explicitly instead:</w:t>
      </w:r>
    </w:p>
    <w:p>
      <w:pPr>
        <w:pStyle w:val="PreformattedText"/>
        <w:bidi w:val="0"/>
        <w:jc w:val="left"/>
        <w:rPr/>
      </w:pPr>
      <w:r>
        <w:rPr>
          <w:rStyle w:val="SourceText"/>
        </w:rPr>
        <w:t>codex exec --json --sandbox read-only "&lt;review prompt&gt;"   # the reviewer (review_run.py's command_for)</w:t>
      </w:r>
    </w:p>
    <w:p>
      <w:pPr>
        <w:pStyle w:val="PreformattedText"/>
        <w:bidi w:val="0"/>
        <w:jc w:val="left"/>
        <w:rPr/>
      </w:pPr>
      <w:r>
        <w:rPr>
          <w:rStyle w:val="SourceText"/>
        </w:rPr>
        <w:t>codex exec --sandbox workspace-write "&lt;task&gt;"              # only if you choose Codex to implement</w:t>
      </w:r>
    </w:p>
    <w:p>
      <w:pPr>
        <w:pStyle w:val="BodyText"/>
        <w:bidi w:val="0"/>
        <w:jc w:val="left"/>
        <w:rPr/>
      </w:pPr>
      <w:r>
        <w:rPr/>
        <w:t xml:space="preserve">If you want named </w:t>
      </w:r>
      <w:r>
        <w:rPr>
          <w:rStyle w:val="SourceText"/>
        </w:rPr>
        <w:t>review</w:t>
      </w:r>
      <w:r>
        <w:rPr/>
        <w:t>/</w:t>
      </w:r>
      <w:r>
        <w:rPr>
          <w:rStyle w:val="SourceText"/>
        </w:rPr>
        <w:t>work</w:t>
      </w:r>
      <w:r>
        <w:rPr/>
        <w:t xml:space="preserve"> profiles for convenience, they are a </w:t>
      </w:r>
      <w:r>
        <w:rPr>
          <w:rStyle w:val="Strong"/>
        </w:rPr>
        <w:t>user-level</w:t>
      </w:r>
      <w:r>
        <w:rPr/>
        <w:t xml:space="preserve"> concept, not a project one: </w:t>
      </w:r>
      <w:r>
        <w:rPr>
          <w:rStyle w:val="SourceText"/>
        </w:rPr>
        <w:t>codex exec --help</w:t>
      </w:r>
      <w:r>
        <w:rPr/>
        <w:t xml:space="preserve"> (codex-cli 0.155.1) documents </w:t>
      </w:r>
      <w:r>
        <w:rPr>
          <w:rStyle w:val="SourceText"/>
        </w:rPr>
        <w:t>--profile NAME</w:t>
      </w:r>
      <w:r>
        <w:rPr/>
        <w:t xml:space="preserve"> as layering </w:t>
      </w:r>
      <w:r>
        <w:rPr>
          <w:rStyle w:val="SourceText"/>
        </w:rPr>
        <w:t>$CODEX_HOME/NAME.config.toml</w:t>
      </w:r>
      <w:r>
        <w:rPr/>
        <w:t xml:space="preserve"> on top of the base user config -- a file under </w:t>
      </w:r>
      <w:r>
        <w:rPr>
          <w:rStyle w:val="SourceText"/>
        </w:rPr>
        <w:t>$CODEX_HOME</w:t>
      </w:r>
      <w:r>
        <w:rPr/>
        <w:t xml:space="preserve">, never this project's </w:t>
      </w:r>
      <w:r>
        <w:rPr>
          <w:rStyle w:val="SourceText"/>
        </w:rPr>
        <w:t>.codex/config.toml</w:t>
      </w:r>
      <w:r>
        <w:rPr/>
        <w:t xml:space="preserve">. Create </w:t>
      </w:r>
      <w:r>
        <w:rPr>
          <w:rStyle w:val="SourceText"/>
        </w:rPr>
        <w:t>$CODEX_HOME/review.config.toml</w:t>
      </w:r>
      <w:r>
        <w:rPr/>
        <w:t xml:space="preserve"> / </w:t>
      </w:r>
      <w:r>
        <w:rPr>
          <w:rStyle w:val="SourceText"/>
        </w:rPr>
        <w:t>$CODEX_HOME/work.config.toml</w:t>
      </w:r>
      <w:r>
        <w:rPr/>
        <w:t xml:space="preserve"> yourself and pass </w:t>
      </w:r>
      <w:r>
        <w:rPr>
          <w:rStyle w:val="SourceText"/>
        </w:rPr>
        <w:t>--profile review</w:t>
      </w:r>
      <w:r>
        <w:rPr/>
        <w:t>/</w:t>
      </w:r>
      <w:r>
        <w:rPr>
          <w:rStyle w:val="SourceText"/>
        </w:rPr>
        <w:t>--profile work</w:t>
      </w:r>
      <w:r>
        <w:rPr/>
        <w:t xml:space="preserve"> against those.</w:t>
      </w:r>
    </w:p>
    <w:p>
      <w:pPr>
        <w:pStyle w:val="BodyText"/>
        <w:bidi w:val="0"/>
        <w:jc w:val="left"/>
        <w:rPr/>
      </w:pPr>
      <w:r>
        <w:rPr/>
        <w:t>A review that exits non-zero or prints nothing is INCOMPLETE, never CLEAN.</w:t>
      </w:r>
    </w:p>
    <w:p>
      <w:pPr>
        <w:pStyle w:val="BodyText"/>
        <w:bidi w:val="0"/>
        <w:jc w:val="left"/>
        <w:rPr/>
      </w:pPr>
      <w:r>
        <w:rPr/>
        <w:t xml:space="preserve">The review prompt Codex reads ends with a </w:t>
      </w:r>
      <w:r>
        <w:rPr>
          <w:rStyle w:val="Strong"/>
        </w:rPr>
        <w:t>development standards checklist</w:t>
      </w:r>
      <w:r>
        <w:rPr/>
        <w:t xml:space="preserve">: the rules and self-check questions of every standard that applies to the change (crew's generic set, any matching per-language set, and the repository's </w:t>
      </w:r>
      <w:r>
        <w:rPr>
          <w:rStyle w:val="SourceText"/>
        </w:rPr>
        <w:t>.crew/standards.md</w:t>
      </w:r>
      <w:r>
        <w:rPr/>
        <w:t xml:space="preserve"> overlay). The author's own self-check answers are withheld from the prompt, so Codex judges each standard's applicability itself, and the prompt says the list does not bound the review: a defect outside it is reported the same way. Withheld from the prompt is not hidden: the answers stay in </w:t>
      </w:r>
      <w:r>
        <w:rPr>
          <w:rStyle w:val="SourceText"/>
        </w:rPr>
        <w:t>.work/tickets/&lt;id&gt;/selfcheck.md</w:t>
      </w:r>
      <w:r>
        <w:rPr/>
        <w:t xml:space="preserve">, which Codex, with read access to the checkout, could open; the prompt never names that file. For a ticket with an approval receipt (or one whose receipt cannot be proven absent), </w:t>
      </w:r>
      <w:r>
        <w:rPr>
          <w:rStyle w:val="SourceText"/>
        </w:rPr>
        <w:t>review_run.py</w:t>
      </w:r>
      <w:r>
        <w:rPr/>
        <w:t xml:space="preserve"> will not launch Codex, or reserve a round, until the author's self-check is complete and stamped for the exact bundle Codex is about to read. A ticket with no approval receipt is told the gate does not apply, and during a declared incident (</w:t>
      </w:r>
      <w:r>
        <w:rPr>
          <w:rStyle w:val="SourceText"/>
        </w:rPr>
        <w:t>/crew:emergency</w:t>
      </w:r>
      <w:r>
        <w:rPr/>
        <w:t>) the gate stands down and logs the skip.</w:t>
      </w:r>
    </w:p>
    <w:p>
      <w:pPr>
        <w:pStyle w:val="Heading2"/>
        <w:bidi w:val="0"/>
        <w:ind w:hanging="0" w:left="0" w:right="0"/>
        <w:jc w:val="left"/>
        <w:rPr/>
      </w:pPr>
      <w:bookmarkStart w:id="4" w:name="what-is-proven-and-what-is-only-configur"/>
      <w:bookmarkEnd w:id="4"/>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5" w:name="when-codex-is-barred"/>
      <w:bookmarkEnd w:id="5"/>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