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p>
      <w:pPr>
        <w:pStyle w:val="BodyText"/>
        <w:bidi w:val="0"/>
        <w:spacing w:before="120" w:after="120"/>
        <w:jc w:val="left"/>
        <w:rPr/>
      </w:pPr>
      <w:r>
        <w:rPr/>
        <w:t xml:space="preserve">Who moves it depends on whether the move can widen scope. </w:t>
      </w:r>
      <w:r>
        <w:rPr>
          <w:rStyle w:val="SourceText"/>
        </w:rPr>
        <w:t>/crew:autopilot</w:t>
      </w:r>
      <w:r>
        <w:rPr/>
        <w:t xml:space="preserve"> sets it itself when the worktree has no active ticket, when it already names the ticket, or when it names a ticket closed by an accepted review (a </w:t>
      </w:r>
      <w:r>
        <w:rPr>
          <w:rStyle w:val="SourceText"/>
        </w:rPr>
        <w:t>clean</w:t>
      </w:r>
      <w:r>
        <w:rPr/>
        <w:t xml:space="preserve"> or </w:t>
      </w:r>
      <w:r>
        <w:rPr>
          <w:rStyle w:val="SourceText"/>
        </w:rPr>
        <w:t>owner-accepted</w:t>
      </w:r>
      <w:r>
        <w:rPr/>
        <w:t xml:space="preserve"> receipt in the review ledger, plus </w:t>
      </w:r>
      <w:r>
        <w:rPr>
          <w:rStyle w:val="SourceText"/>
        </w:rPr>
        <w:t>done</w:t>
      </w:r>
      <w:r>
        <w:rPr/>
        <w:t xml:space="preserve"> in </w:t>
      </w:r>
      <w:r>
        <w:rPr>
          <w:rStyle w:val="SourceText"/>
        </w:rPr>
        <w:t>.work/INDEX.md</w:t>
      </w:r>
      <w:r>
        <w:rPr/>
        <w:t xml:space="preserve"> or the spec header). Moving off a ticket that is still in flight is yours: type </w:t>
      </w:r>
      <w:r>
        <w:rPr>
          <w:rStyle w:val="SourceText"/>
        </w:rPr>
        <w:t>/crew:autopilot &lt;id&gt;</w:t>
      </w:r>
      <w:r>
        <w:rPr/>
        <w:t xml:space="preserve">, and crew's prompt hook re-points this worktree and says which ticket it left. The edit guard refuses the session's own </w:t>
      </w:r>
      <w:r>
        <w:rPr>
          <w:rStyle w:val="SourceText"/>
        </w:rPr>
        <w:t>activate</w:t>
      </w:r>
      <w:r>
        <w:rPr/>
        <w:t xml:space="preserve"> or </w:t>
      </w:r>
      <w:r>
        <w:rPr>
          <w:rStyle w:val="SourceText"/>
        </w:rPr>
        <w:t>deactivate</w:t>
      </w:r>
      <w:r>
        <w:rPr/>
        <w:t xml:space="preserve"> for that move under every mode but </w:t>
      </w:r>
      <w:r>
        <w:rPr>
          <w:rStyle w:val="SourceText"/>
        </w:rPr>
        <w:t>off</w:t>
      </w:r>
      <w:r>
        <w:rPr/>
        <w:t xml:space="preserve">, and autopilot's stops recommend finishing the in-flight ticket rather than telling you to run a script. A review ledger that says accepted but whose receipt does not stand on its latest completed round, and a </w:t>
      </w:r>
      <w:r>
        <w:rPr>
          <w:rStyle w:val="SourceText"/>
        </w:rPr>
        <w:t>--root</w:t>
      </w:r>
      <w:r>
        <w:rPr/>
        <w:t xml:space="preserve"> the guard cannot judge where the shell will (</w:t>
      </w:r>
      <w:r>
        <w:rPr>
          <w:rStyle w:val="SourceText"/>
        </w:rPr>
        <w:t>~</w:t>
      </w:r>
      <w:r>
        <w:rPr/>
        <w:t>, a variable, a backslash path, a directory change, or no repository where it looked), both count as could not tell, so the move stays yours. If the pointer moves between the prompt hook reading it and writing it, the hook writes nothing and says so.</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