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2952"/>
        <w:gridCol w:w="2196"/>
      </w:tblGrid>
      <w:tr>
        <w:trPr>
          <w:tblHeader w:val="true"/>
        </w:trPr>
        <w:tc>
          <w:tcPr>
            <w:tcW w:w="2952" w:type="dxa"/>
            <w:tcBorders/>
            <w:vAlign w:val="center"/>
          </w:tcPr>
          <w:p>
            <w:pPr>
              <w:pStyle w:val="TableHeading"/>
              <w:suppressLineNumbers/>
              <w:shd w:fill="434C5E" w:val="clear"/>
              <w:bidi w:val="0"/>
              <w:spacing w:before="120" w:after="120"/>
              <w:jc w:val="left"/>
              <w:rPr/>
            </w:pPr>
            <w:r>
              <w:rPr/>
              <w:t>Ticket status</w:t>
            </w:r>
          </w:p>
        </w:tc>
        <w:tc>
          <w:tcPr>
            <w:tcW w:w="2196" w:type="dxa"/>
            <w:tcBorders/>
            <w:vAlign w:val="center"/>
          </w:tcPr>
          <w:p>
            <w:pPr>
              <w:pStyle w:val="TableHeading"/>
              <w:suppressLineNumbers/>
              <w:shd w:fill="434C5E" w:val="clear"/>
              <w:bidi w:val="0"/>
              <w:spacing w:before="120" w:after="120"/>
              <w:jc w:val="left"/>
              <w:rPr/>
            </w:pPr>
            <w:r>
              <w:rPr/>
              <w:t>Lane (default name)</w:t>
            </w:r>
          </w:p>
        </w:tc>
      </w:tr>
      <w:tr>
        <w:trPr/>
        <w:tc>
          <w:tcPr>
            <w:tcW w:w="2952"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196" w:type="dxa"/>
            <w:tcBorders/>
            <w:vAlign w:val="center"/>
          </w:tcPr>
          <w:p>
            <w:pPr>
              <w:pStyle w:val="TableContents"/>
              <w:shd w:fill="2E3440" w:val="clear"/>
              <w:bidi w:val="0"/>
              <w:spacing w:before="120" w:after="120"/>
              <w:jc w:val="left"/>
              <w:rPr/>
            </w:pPr>
            <w:r>
              <w:rPr/>
              <w:t>Backlog</w:t>
            </w:r>
          </w:p>
        </w:tc>
      </w:tr>
      <w:tr>
        <w:trPr/>
        <w:tc>
          <w:tcPr>
            <w:tcW w:w="2952"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196" w:type="dxa"/>
            <w:tcBorders/>
            <w:vAlign w:val="center"/>
          </w:tcPr>
          <w:p>
            <w:pPr>
              <w:pStyle w:val="TableContents"/>
              <w:shd w:fill="2E3440" w:val="clear"/>
              <w:bidi w:val="0"/>
              <w:spacing w:before="120" w:after="120"/>
              <w:jc w:val="left"/>
              <w:rPr/>
            </w:pPr>
            <w:r>
              <w:rPr/>
              <w:t>Ready</w:t>
            </w:r>
          </w:p>
        </w:tc>
      </w:tr>
      <w:tr>
        <w:trPr/>
        <w:tc>
          <w:tcPr>
            <w:tcW w:w="2952" w:type="dxa"/>
            <w:tcBorders/>
            <w:vAlign w:val="center"/>
          </w:tcPr>
          <w:p>
            <w:pPr>
              <w:pStyle w:val="TableContents"/>
              <w:shd w:fill="2E3440" w:val="clear"/>
              <w:bidi w:val="0"/>
              <w:spacing w:before="120" w:after="120"/>
              <w:jc w:val="left"/>
              <w:rPr/>
            </w:pPr>
            <w:r>
              <w:rPr>
                <w:rStyle w:val="SourceText"/>
              </w:rPr>
              <w:t>in-progress</w:t>
            </w:r>
          </w:p>
        </w:tc>
        <w:tc>
          <w:tcPr>
            <w:tcW w:w="2196" w:type="dxa"/>
            <w:tcBorders/>
            <w:vAlign w:val="center"/>
          </w:tcPr>
          <w:p>
            <w:pPr>
              <w:pStyle w:val="TableContents"/>
              <w:shd w:fill="2E3440" w:val="clear"/>
              <w:bidi w:val="0"/>
              <w:spacing w:before="120" w:after="120"/>
              <w:jc w:val="left"/>
              <w:rPr/>
            </w:pPr>
            <w:r>
              <w:rPr/>
              <w:t>In Progress</w:t>
            </w:r>
          </w:p>
        </w:tc>
      </w:tr>
      <w:tr>
        <w:trPr/>
        <w:tc>
          <w:tcPr>
            <w:tcW w:w="2952" w:type="dxa"/>
            <w:tcBorders/>
            <w:vAlign w:val="center"/>
          </w:tcPr>
          <w:p>
            <w:pPr>
              <w:pStyle w:val="TableContents"/>
              <w:shd w:fill="2E3440" w:val="clear"/>
              <w:bidi w:val="0"/>
              <w:spacing w:before="120" w:after="120"/>
              <w:jc w:val="left"/>
              <w:rPr/>
            </w:pPr>
            <w:r>
              <w:rPr>
                <w:rStyle w:val="SourceText"/>
              </w:rPr>
              <w:t>review</w:t>
            </w:r>
          </w:p>
        </w:tc>
        <w:tc>
          <w:tcPr>
            <w:tcW w:w="2196" w:type="dxa"/>
            <w:tcBorders/>
            <w:vAlign w:val="center"/>
          </w:tcPr>
          <w:p>
            <w:pPr>
              <w:pStyle w:val="TableContents"/>
              <w:shd w:fill="2E3440" w:val="clear"/>
              <w:bidi w:val="0"/>
              <w:spacing w:before="120" w:after="120"/>
              <w:jc w:val="left"/>
              <w:rPr/>
            </w:pPr>
            <w:r>
              <w:rPr/>
              <w:t>Review</w:t>
            </w:r>
          </w:p>
        </w:tc>
      </w:tr>
      <w:tr>
        <w:trPr/>
        <w:tc>
          <w:tcPr>
            <w:tcW w:w="2952" w:type="dxa"/>
            <w:tcBorders/>
            <w:vAlign w:val="center"/>
          </w:tcPr>
          <w:p>
            <w:pPr>
              <w:pStyle w:val="TableContents"/>
              <w:shd w:fill="2E3440" w:val="clear"/>
              <w:bidi w:val="0"/>
              <w:spacing w:before="120" w:after="120"/>
              <w:jc w:val="left"/>
              <w:rPr/>
            </w:pPr>
            <w:r>
              <w:rPr>
                <w:rStyle w:val="SourceText"/>
              </w:rPr>
              <w:t>done</w:t>
            </w:r>
          </w:p>
        </w:tc>
        <w:tc>
          <w:tcPr>
            <w:tcW w:w="2196"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952"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196"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 Converting existing memories in bulk arrives in a later version.</w:t>
      </w:r>
    </w:p>
    <w:p>
      <w:pPr>
        <w:pStyle w:val="Heading2"/>
        <w:bidi w:val="0"/>
        <w:ind w:hanging="0" w:left="0" w:right="0"/>
        <w:jc w:val="left"/>
        <w:rPr/>
      </w:pPr>
      <w:bookmarkStart w:id="13" w:name="confirming-recall-reaches-your-sessions"/>
      <w:bookmarkEnd w:id="13"/>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4" w:name="path-scoped-rules-from-the-code-map"/>
      <w:bookmarkEnd w:id="14"/>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5" w:name="confirming-recall-reaches-your-sessions_"/>
      <w:bookmarkEnd w:id="15"/>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6" w:name="which-channel-reaches-which-agent"/>
      <w:bookmarkEnd w:id="16"/>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7" w:name="where-recall-comes-from"/>
      <w:bookmarkEnd w:id="17"/>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8" w:name="the-seeded-note-proof"/>
      <w:bookmarkEnd w:id="18"/>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9" w:name="measured-against-the-real-vault_opspy-re"/>
      <w:bookmarkEnd w:id="19"/>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0" w:name="reading-stats"/>
      <w:bookmarkEnd w:id="20"/>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