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11339" w:type="dxa"/>
        <w:jc w:val="left"/>
        <w:tblInd w:w="28" w:type="dxa"/>
        <w:tblLayout w:type="fixed"/>
        <w:tblCellMar>
          <w:top w:w="28" w:type="dxa"/>
          <w:left w:w="28" w:type="dxa"/>
          <w:bottom w:w="28" w:type="dxa"/>
          <w:right w:w="28" w:type="dxa"/>
        </w:tblCellMar>
      </w:tblPr>
      <w:tblGrid>
        <w:gridCol w:w="3902"/>
        <w:gridCol w:w="2862"/>
        <w:gridCol w:w="4575"/>
      </w:tblGrid>
      <w:tr>
        <w:trPr>
          <w:tblHeader w:val="true"/>
        </w:trPr>
        <w:tc>
          <w:tcPr>
            <w:tcW w:w="3902" w:type="dxa"/>
            <w:tcBorders/>
            <w:vAlign w:val="center"/>
          </w:tcPr>
          <w:p>
            <w:pPr>
              <w:pStyle w:val="TableHeading"/>
              <w:suppressLineNumbers/>
              <w:shd w:fill="434C5E" w:val="clear"/>
              <w:bidi w:val="0"/>
              <w:spacing w:before="120" w:after="120"/>
              <w:jc w:val="left"/>
              <w:rPr/>
            </w:pPr>
            <w:r>
              <w:rPr/>
              <w:t>Surface</w:t>
            </w:r>
          </w:p>
        </w:tc>
        <w:tc>
          <w:tcPr>
            <w:tcW w:w="2862" w:type="dxa"/>
            <w:tcBorders/>
            <w:vAlign w:val="center"/>
          </w:tcPr>
          <w:p>
            <w:pPr>
              <w:pStyle w:val="TableHeading"/>
              <w:suppressLineNumbers/>
              <w:shd w:fill="434C5E" w:val="clear"/>
              <w:bidi w:val="0"/>
              <w:spacing w:before="120" w:after="120"/>
              <w:jc w:val="left"/>
              <w:rPr/>
            </w:pPr>
            <w:r>
              <w:rPr/>
              <w:t>Claude Code</w:t>
            </w:r>
          </w:p>
        </w:tc>
        <w:tc>
          <w:tcPr>
            <w:tcW w:w="4575" w:type="dxa"/>
            <w:tcBorders/>
            <w:vAlign w:val="center"/>
          </w:tcPr>
          <w:p>
            <w:pPr>
              <w:pStyle w:val="TableHeading"/>
              <w:suppressLineNumbers/>
              <w:shd w:fill="434C5E" w:val="clear"/>
              <w:bidi w:val="0"/>
              <w:spacing w:before="120" w:after="120"/>
              <w:jc w:val="left"/>
              <w:rPr/>
            </w:pPr>
            <w:r>
              <w:rPr/>
              <w:t>Codex</w:t>
            </w:r>
          </w:p>
        </w:tc>
      </w:tr>
      <w:tr>
        <w:trPr/>
        <w:tc>
          <w:tcPr>
            <w:tcW w:w="3902"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2862"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4575" w:type="dxa"/>
            <w:tcBorders/>
            <w:vAlign w:val="center"/>
          </w:tcPr>
          <w:p>
            <w:pPr>
              <w:pStyle w:val="TableContents"/>
              <w:shd w:fill="2E3440" w:val="clear"/>
              <w:bidi w:val="0"/>
              <w:spacing w:before="120" w:after="120"/>
              <w:jc w:val="left"/>
              <w:rPr/>
            </w:pPr>
            <w:r>
              <w:rPr/>
              <w:t>natively</w:t>
            </w:r>
          </w:p>
        </w:tc>
      </w:tr>
      <w:tr>
        <w:trPr/>
        <w:tc>
          <w:tcPr>
            <w:tcW w:w="3902"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2862" w:type="dxa"/>
            <w:tcBorders/>
            <w:vAlign w:val="center"/>
          </w:tcPr>
          <w:p>
            <w:pPr>
              <w:pStyle w:val="TableContents"/>
              <w:shd w:fill="2E3440" w:val="clear"/>
              <w:bidi w:val="0"/>
              <w:spacing w:before="120" w:after="120"/>
              <w:jc w:val="left"/>
              <w:rPr/>
            </w:pPr>
            <w:r>
              <w:rPr/>
              <w:t>yes, when a matching file is read</w:t>
            </w:r>
          </w:p>
        </w:tc>
        <w:tc>
          <w:tcPr>
            <w:tcW w:w="4575"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3902" w:type="dxa"/>
            <w:tcBorders/>
            <w:vAlign w:val="center"/>
          </w:tcPr>
          <w:p>
            <w:pPr>
              <w:pStyle w:val="TableContents"/>
              <w:shd w:fill="2E3440" w:val="clear"/>
              <w:bidi w:val="0"/>
              <w:spacing w:before="120" w:after="120"/>
              <w:jc w:val="left"/>
              <w:rPr/>
            </w:pPr>
            <w:r>
              <w:rPr/>
              <w:t>crew's context hook</w:t>
            </w:r>
          </w:p>
        </w:tc>
        <w:tc>
          <w:tcPr>
            <w:tcW w:w="2862"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4575"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3902" w:type="dxa"/>
            <w:tcBorders/>
            <w:vAlign w:val="center"/>
          </w:tcPr>
          <w:p>
            <w:pPr>
              <w:pStyle w:val="TableContents"/>
              <w:shd w:fill="2E3440" w:val="clear"/>
              <w:bidi w:val="0"/>
              <w:spacing w:before="120" w:after="120"/>
              <w:jc w:val="left"/>
              <w:rPr/>
            </w:pPr>
            <w:r>
              <w:rPr>
                <w:rStyle w:val="SourceText"/>
              </w:rPr>
              <w:t>CLAUDE.md</w:t>
            </w:r>
          </w:p>
        </w:tc>
        <w:tc>
          <w:tcPr>
            <w:tcW w:w="2862" w:type="dxa"/>
            <w:tcBorders/>
            <w:vAlign w:val="center"/>
          </w:tcPr>
          <w:p>
            <w:pPr>
              <w:pStyle w:val="TableContents"/>
              <w:shd w:fill="2E3440" w:val="clear"/>
              <w:bidi w:val="0"/>
              <w:spacing w:before="120" w:after="120"/>
              <w:jc w:val="left"/>
              <w:rPr/>
            </w:pPr>
            <w:r>
              <w:rPr/>
              <w:t>natively</w:t>
            </w:r>
          </w:p>
        </w:tc>
        <w:tc>
          <w:tcPr>
            <w:tcW w:w="4575"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A review that exits non-zero or prints nothing is INCOMPLETE, never CLEAN.</w:t>
      </w:r>
    </w:p>
    <w:p>
      <w:pPr>
        <w:pStyle w:val="BodyText"/>
        <w:bidi w:val="0"/>
        <w:jc w:val="left"/>
        <w:rPr/>
      </w:pPr>
      <w:r>
        <w:rPr/>
        <w:t xml:space="preserve">The review prompt Codex reads ends with a </w:t>
      </w:r>
      <w:r>
        <w:rPr>
          <w:rStyle w:val="Strong"/>
        </w:rPr>
        <w:t>development standards checklist</w:t>
      </w:r>
      <w:r>
        <w:rPr/>
        <w:t xml:space="preserve">: the rules and self-check questions of every standard that applies to the change (crew's generic set, any matching per-language set, and the repository's </w:t>
      </w:r>
      <w:r>
        <w:rPr>
          <w:rStyle w:val="SourceText"/>
        </w:rPr>
        <w:t>.crew/standards.md</w:t>
      </w:r>
      <w:r>
        <w:rPr/>
        <w:t xml:space="preserve"> overlay). The author's own self-check answers are withheld, so Codex judges each standard's applicability itself, and the prompt says the list does not bound the review: a defect outside it is reported the same way. </w:t>
      </w:r>
      <w:r>
        <w:rPr>
          <w:rStyle w:val="SourceText"/>
        </w:rPr>
        <w:t>review_run.py</w:t>
      </w:r>
      <w:r>
        <w:rPr/>
        <w:t xml:space="preserve"> will not launch Codex, or reserve a round, until the author's self-check is complete and stamped for the exact bundle Codex is about to read.</w:t>
      </w:r>
    </w:p>
    <w:p>
      <w:pPr>
        <w:pStyle w:val="Heading2"/>
        <w:bidi w:val="0"/>
        <w:ind w:hanging="0" w:left="0" w:right="0"/>
        <w:jc w:val="left"/>
        <w:rPr/>
      </w:pPr>
      <w:bookmarkStart w:id="4" w:name="what-is-proven-and-what-is-only-configur"/>
      <w:bookmarkEnd w:id="4"/>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5" w:name="when-codex-is-barred"/>
      <w:bookmarkEnd w:id="5"/>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