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0-the-full-guide"/>
      <w:bookmarkEnd w:id="0"/>
      <w:r>
        <w:rPr/>
        <w:t>Crew 1.0 - the Full Guide</w:t>
      </w:r>
    </w:p>
    <w:p>
      <w:pPr>
        <w:pStyle w:val="BodyText"/>
        <w:bidi w:val="0"/>
        <w:jc w:val="left"/>
        <w:rPr/>
      </w:pPr>
      <w:r>
        <w:rPr/>
        <w:t xml:space="preserve">This guide explains the whole of crew 1.0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1.0 ships four agents. Each one exists because it buys something a prompt cannot: an isolated context window, a restricted tool set, or independent eyes.</w:t>
      </w:r>
    </w:p>
    <w:tbl>
      <w:tblPr>
        <w:tblW w:w="3888" w:type="dxa"/>
        <w:jc w:val="left"/>
        <w:tblInd w:w="0" w:type="dxa"/>
        <w:tblLayout w:type="fixed"/>
        <w:tblCellMar>
          <w:top w:w="28" w:type="dxa"/>
          <w:left w:w="28" w:type="dxa"/>
          <w:bottom w:w="28" w:type="dxa"/>
          <w:right w:w="28" w:type="dxa"/>
        </w:tblCellMar>
      </w:tblPr>
      <w:tblGrid>
        <w:gridCol w:w="1411"/>
        <w:gridCol w:w="1351"/>
        <w:gridCol w:w="1126"/>
      </w:tblGrid>
      <w:tr>
        <w:trPr>
          <w:tblHeader w:val="true"/>
        </w:trPr>
        <w:tc>
          <w:tcPr>
            <w:tcW w:w="1411" w:type="dxa"/>
            <w:tcBorders/>
            <w:vAlign w:val="center"/>
          </w:tcPr>
          <w:p>
            <w:pPr>
              <w:pStyle w:val="TableHeading"/>
              <w:suppressLineNumbers/>
              <w:shd w:fill="434C5E" w:val="clear"/>
              <w:bidi w:val="0"/>
              <w:spacing w:before="120" w:after="120"/>
              <w:jc w:val="left"/>
              <w:rPr/>
            </w:pPr>
            <w:r>
              <w:rPr/>
              <w:t>Role</w:t>
            </w:r>
          </w:p>
        </w:tc>
        <w:tc>
          <w:tcPr>
            <w:tcW w:w="1351" w:type="dxa"/>
            <w:tcBorders/>
            <w:vAlign w:val="center"/>
          </w:tcPr>
          <w:p>
            <w:pPr>
              <w:pStyle w:val="TableHeading"/>
              <w:suppressLineNumbers/>
              <w:shd w:fill="434C5E" w:val="clear"/>
              <w:bidi w:val="0"/>
              <w:spacing w:before="120" w:after="120"/>
              <w:jc w:val="left"/>
              <w:rPr/>
            </w:pPr>
            <w:r>
              <w:rPr/>
              <w:t>What it does</w:t>
            </w:r>
          </w:p>
        </w:tc>
        <w:tc>
          <w:tcPr>
            <w:tcW w:w="1126" w:type="dxa"/>
            <w:tcBorders/>
            <w:vAlign w:val="center"/>
          </w:tcPr>
          <w:p>
            <w:pPr>
              <w:pStyle w:val="TableHeading"/>
              <w:suppressLineNumbers/>
              <w:shd w:fill="434C5E" w:val="clear"/>
              <w:bidi w:val="0"/>
              <w:spacing w:before="120" w:after="120"/>
              <w:jc w:val="left"/>
              <w:rPr/>
            </w:pPr>
            <w:r>
              <w:rPr/>
              <w:t>What it cannot do</w:t>
            </w:r>
          </w:p>
        </w:tc>
      </w:tr>
      <w:tr>
        <w:trPr/>
        <w:tc>
          <w:tcPr>
            <w:tcW w:w="1411" w:type="dxa"/>
            <w:tcBorders/>
            <w:vAlign w:val="center"/>
          </w:tcPr>
          <w:p>
            <w:pPr>
              <w:pStyle w:val="TableContents"/>
              <w:shd w:fill="2E3440" w:val="clear"/>
              <w:bidi w:val="0"/>
              <w:spacing w:before="120" w:after="120"/>
              <w:jc w:val="left"/>
              <w:rPr/>
            </w:pPr>
            <w:r>
              <w:rPr>
                <w:rStyle w:val="SourceText"/>
              </w:rPr>
              <w:t>explorer</w:t>
            </w:r>
          </w:p>
        </w:tc>
        <w:tc>
          <w:tcPr>
            <w:tcW w:w="1351" w:type="dxa"/>
            <w:tcBorders/>
            <w:vAlign w:val="center"/>
          </w:tcPr>
          <w:p>
            <w:pPr>
              <w:pStyle w:val="TableContents"/>
              <w:shd w:fill="2E3440" w:val="clear"/>
              <w:bidi w:val="0"/>
              <w:spacing w:before="120" w:after="120"/>
              <w:jc w:val="left"/>
              <w:rPr/>
            </w:pPr>
            <w:r>
              <w:rPr/>
              <w:t>Maps the code a ticket touches</w:t>
            </w:r>
          </w:p>
        </w:tc>
        <w:tc>
          <w:tcPr>
            <w:tcW w:w="1126" w:type="dxa"/>
            <w:tcBorders/>
            <w:vAlign w:val="center"/>
          </w:tcPr>
          <w:p>
            <w:pPr>
              <w:pStyle w:val="TableContents"/>
              <w:shd w:fill="2E3440" w:val="clear"/>
              <w:bidi w:val="0"/>
              <w:spacing w:before="120" w:after="120"/>
              <w:jc w:val="left"/>
              <w:rPr/>
            </w:pPr>
            <w:r>
              <w:rPr/>
              <w:t>No Write, Edit or Bash</w:t>
            </w:r>
          </w:p>
        </w:tc>
      </w:tr>
      <w:tr>
        <w:trPr/>
        <w:tc>
          <w:tcPr>
            <w:tcW w:w="1411" w:type="dxa"/>
            <w:tcBorders/>
            <w:vAlign w:val="center"/>
          </w:tcPr>
          <w:p>
            <w:pPr>
              <w:pStyle w:val="TableContents"/>
              <w:shd w:fill="2E3440" w:val="clear"/>
              <w:bidi w:val="0"/>
              <w:spacing w:before="120" w:after="120"/>
              <w:jc w:val="left"/>
              <w:rPr/>
            </w:pPr>
            <w:r>
              <w:rPr>
                <w:rStyle w:val="SourceText"/>
              </w:rPr>
              <w:t>reviewer</w:t>
            </w:r>
          </w:p>
        </w:tc>
        <w:tc>
          <w:tcPr>
            <w:tcW w:w="1351"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1126" w:type="dxa"/>
            <w:tcBorders/>
            <w:vAlign w:val="center"/>
          </w:tcPr>
          <w:p>
            <w:pPr>
              <w:pStyle w:val="TableContents"/>
              <w:shd w:fill="2E3440" w:val="clear"/>
              <w:bidi w:val="0"/>
              <w:spacing w:before="120" w:after="120"/>
              <w:jc w:val="left"/>
              <w:rPr/>
            </w:pPr>
            <w:r>
              <w:rPr/>
              <w:t>Writes nothing to the tree</w:t>
            </w:r>
          </w:p>
        </w:tc>
      </w:tr>
      <w:tr>
        <w:trPr/>
        <w:tc>
          <w:tcPr>
            <w:tcW w:w="1411" w:type="dxa"/>
            <w:tcBorders/>
            <w:vAlign w:val="center"/>
          </w:tcPr>
          <w:p>
            <w:pPr>
              <w:pStyle w:val="TableContents"/>
              <w:shd w:fill="2E3440" w:val="clear"/>
              <w:bidi w:val="0"/>
              <w:spacing w:before="120" w:after="120"/>
              <w:jc w:val="left"/>
              <w:rPr/>
            </w:pPr>
            <w:r>
              <w:rPr>
                <w:rStyle w:val="SourceText"/>
              </w:rPr>
              <w:t>security</w:t>
            </w:r>
          </w:p>
        </w:tc>
        <w:tc>
          <w:tcPr>
            <w:tcW w:w="1351" w:type="dxa"/>
            <w:tcBorders/>
            <w:vAlign w:val="center"/>
          </w:tcPr>
          <w:p>
            <w:pPr>
              <w:pStyle w:val="TableContents"/>
              <w:shd w:fill="2E3440" w:val="clear"/>
              <w:bidi w:val="0"/>
              <w:spacing w:before="120" w:after="120"/>
              <w:jc w:val="left"/>
              <w:rPr/>
            </w:pPr>
            <w:r>
              <w:rPr/>
              <w:t>Read-only review of risky changes</w:t>
            </w:r>
          </w:p>
        </w:tc>
        <w:tc>
          <w:tcPr>
            <w:tcW w:w="1126" w:type="dxa"/>
            <w:tcBorders/>
            <w:vAlign w:val="center"/>
          </w:tcPr>
          <w:p>
            <w:pPr>
              <w:pStyle w:val="TableContents"/>
              <w:shd w:fill="2E3440" w:val="clear"/>
              <w:bidi w:val="0"/>
              <w:spacing w:before="120" w:after="120"/>
              <w:jc w:val="left"/>
              <w:rPr/>
            </w:pPr>
            <w:r>
              <w:rPr/>
              <w:t>No Write or Edit</w:t>
            </w:r>
          </w:p>
        </w:tc>
      </w:tr>
      <w:tr>
        <w:trPr/>
        <w:tc>
          <w:tcPr>
            <w:tcW w:w="1411" w:type="dxa"/>
            <w:tcBorders/>
            <w:vAlign w:val="center"/>
          </w:tcPr>
          <w:p>
            <w:pPr>
              <w:pStyle w:val="TableContents"/>
              <w:shd w:fill="2E3440" w:val="clear"/>
              <w:bidi w:val="0"/>
              <w:spacing w:before="120" w:after="120"/>
              <w:jc w:val="left"/>
              <w:rPr/>
            </w:pPr>
            <w:r>
              <w:rPr>
                <w:rStyle w:val="SourceText"/>
              </w:rPr>
              <w:t>researcher</w:t>
            </w:r>
          </w:p>
        </w:tc>
        <w:tc>
          <w:tcPr>
            <w:tcW w:w="1351" w:type="dxa"/>
            <w:tcBorders/>
            <w:vAlign w:val="center"/>
          </w:tcPr>
          <w:p>
            <w:pPr>
              <w:pStyle w:val="TableContents"/>
              <w:shd w:fill="2E3440" w:val="clear"/>
              <w:bidi w:val="0"/>
              <w:spacing w:before="120" w:after="120"/>
              <w:jc w:val="left"/>
              <w:rPr/>
            </w:pPr>
            <w:r>
              <w:rPr/>
              <w:t>Reads external sources only</w:t>
            </w:r>
          </w:p>
        </w:tc>
        <w:tc>
          <w:tcPr>
            <w:tcW w:w="1126"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The template leaves out the five personal </w:t>
      </w:r>
      <w:r>
        <w:rPr>
          <w:rStyle w:val="SourceText"/>
        </w:rPr>
        <w:t>autopilot.*</w:t>
      </w:r>
      <w:r>
        <w:rPr/>
        <w:t xml:space="preserve"> settings, so your machine-wide defaults for them apply.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rStyle w:val="SourceText"/>
        </w:rPr>
        <w:t>/crew:migrate</w:t>
      </w:r>
      <w:r>
        <w:rPr/>
        <w:t xml:space="preserve"> moves a crew 0.20 repository to the 1.0 layout,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Every historical metric it cannot recover is written </w:t>
      </w:r>
      <w:r>
        <w:rPr>
          <w:rStyle w:val="SourceText"/>
        </w:rPr>
        <w:t>UNKNOWN</w:t>
      </w:r>
      <w:r>
        <w:rPr/>
        <w:t xml:space="preserve">, never </w:t>
      </w:r>
      <w:r>
        <w:rPr>
          <w:rStyle w:val="SourceText"/>
        </w:rPr>
        <w:t>0</w:t>
      </w:r>
      <w:r>
        <w:rPr/>
        <w:t xml:space="preserve">. </w:t>
      </w:r>
      <w:r>
        <w:rPr>
          <w:rStyle w:val="SourceText"/>
        </w:rPr>
        <w:t>/crew:upgrade</w:t>
      </w:r>
      <w:r>
        <w:rPr/>
        <w:t xml:space="preserve"> is only for a config older than 0.20 that </w:t>
      </w:r>
      <w:r>
        <w:rPr>
          <w:rStyle w:val="SourceText"/>
        </w:rPr>
        <w:t>/crew:migrate</w:t>
      </w:r>
      <w:r>
        <w:rPr/>
        <w:t xml:space="preserve"> refuses.</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and the generated </w:t>
      </w:r>
      <w:r>
        <w:rPr>
          <w:rStyle w:val="SourceText"/>
        </w:rPr>
        <w:t>.claude/rules/</w:t>
      </w:r>
      <w:r>
        <w:rPr/>
        <w:t>.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or </w:t>
      </w:r>
      <w:r>
        <w:rPr>
          <w:rStyle w:val="SourceText"/>
        </w:rPr>
        <w:t>graphify update .</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jc w:val="left"/>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that a rollback is declared, that a person approved it when </w:t>
      </w:r>
      <w:r>
        <w:rPr>
          <w:rStyle w:val="SourceText"/>
        </w:rPr>
        <w:t>requireHuman</w:t>
      </w:r>
      <w:r>
        <w:rPr/>
        <w:t xml:space="preserve"> is set, and that the tree is clean.</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w:t>
      </w:r>
    </w:p>
    <w:p>
      <w:pPr>
        <w:pStyle w:val="BodyText"/>
        <w:bidi w:val="0"/>
        <w:jc w:val="left"/>
        <w:rPr/>
      </w:pPr>
      <w:r>
        <w:rPr/>
        <w:t xml:space="preserve">The five </w:t>
      </w:r>
      <w:r>
        <w:rPr>
          <w:rStyle w:val="SourceText"/>
        </w:rPr>
        <w:t>autopilot.*</w:t>
      </w:r>
      <w:r>
        <w:rPr/>
        <w:t xml:space="preserve"> settings are personal: set them in the repo's </w:t>
      </w:r>
      <w:r>
        <w:rPr>
          <w:rStyle w:val="SourceText"/>
        </w:rPr>
        <w:t>.crew/config.json</w:t>
      </w:r>
      <w:r>
        <w:rPr/>
        <w:t>, or once in the machine-global file as your default for every repo. Where both files set one, the stricter value wins, so a repo can narrow your default and never widen it.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in the repo file, even under a machine-wide </w:t>
      </w:r>
      <w:r>
        <w:rPr>
          <w:rStyle w:val="SourceText"/>
        </w:rPr>
        <w:t>autopilot.approval: self</w:t>
      </w:r>
      <w:r>
        <w:rPr/>
        <w:t xml:space="preserve">; an open question does not. Autopilot never merges, pushes, opens a pull request or deploys today. Shipping arrives with T-0011, goals and backlogs with T-0012, and deploy dispatch with T-0045. </w:t>
      </w:r>
      <w:r>
        <w:rPr>
          <w:rStyle w:val="SourceText"/>
        </w:rPr>
        <w:t>/crew:autopilot status</w:t>
      </w:r>
      <w:r>
        <w:rPr/>
        <w:t xml:space="preserve"> prints where a ticket stands, read-only.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plugin/crew/README.md</w:t>
      </w:r>
      <w:r>
        <w:rPr/>
        <w:t>,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crew never merges, pushes or opens the PR.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Windows types only with </w:t>
      </w:r>
      <w:r>
        <w:rPr>
          <w:rStyle w:val="SourceText"/>
        </w:rPr>
        <w:t>context.autoClear.method: "sendkeys"</w:t>
      </w:r>
      <w:r>
        <w:rPr/>
        <w:t xml:space="preserve">, and only after checking the window has focus.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plugin/crew/README.md</w:t>
      </w:r>
      <w:r>
        <w:rPr/>
        <w:t>,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3888" w:type="dxa"/>
        <w:jc w:val="left"/>
        <w:tblInd w:w="0" w:type="dxa"/>
        <w:tblLayout w:type="fixed"/>
        <w:tblCellMar>
          <w:top w:w="28" w:type="dxa"/>
          <w:left w:w="28" w:type="dxa"/>
          <w:bottom w:w="28" w:type="dxa"/>
          <w:right w:w="28" w:type="dxa"/>
        </w:tblCellMar>
      </w:tblPr>
      <w:tblGrid>
        <w:gridCol w:w="1007"/>
        <w:gridCol w:w="2881"/>
      </w:tblGrid>
      <w:tr>
        <w:trPr>
          <w:tblHeader w:val="true"/>
        </w:trPr>
        <w:tc>
          <w:tcPr>
            <w:tcW w:w="1007" w:type="dxa"/>
            <w:tcBorders/>
            <w:vAlign w:val="center"/>
          </w:tcPr>
          <w:p>
            <w:pPr>
              <w:pStyle w:val="TableHeading"/>
              <w:suppressLineNumbers/>
              <w:shd w:fill="434C5E" w:val="clear"/>
              <w:bidi w:val="0"/>
              <w:spacing w:before="120" w:after="120"/>
              <w:jc w:val="left"/>
              <w:rPr/>
            </w:pPr>
            <w:r>
              <w:rPr/>
              <w:t>Ticket</w:t>
            </w:r>
          </w:p>
        </w:tc>
        <w:tc>
          <w:tcPr>
            <w:tcW w:w="2881" w:type="dxa"/>
            <w:tcBorders/>
            <w:vAlign w:val="center"/>
          </w:tcPr>
          <w:p>
            <w:pPr>
              <w:pStyle w:val="TableHeading"/>
              <w:suppressLineNumbers/>
              <w:shd w:fill="434C5E" w:val="clear"/>
              <w:bidi w:val="0"/>
              <w:spacing w:before="120" w:after="120"/>
              <w:jc w:val="left"/>
              <w:rPr/>
            </w:pPr>
            <w:r>
              <w:rPr/>
              <w:t>What it brings</w:t>
            </w:r>
          </w:p>
        </w:tc>
      </w:tr>
      <w:tr>
        <w:trPr/>
        <w:tc>
          <w:tcPr>
            <w:tcW w:w="1007" w:type="dxa"/>
            <w:tcBorders/>
            <w:vAlign w:val="center"/>
          </w:tcPr>
          <w:p>
            <w:pPr>
              <w:pStyle w:val="TableContents"/>
              <w:shd w:fill="2E3440" w:val="clear"/>
              <w:bidi w:val="0"/>
              <w:spacing w:before="120" w:after="120"/>
              <w:jc w:val="left"/>
              <w:rPr/>
            </w:pPr>
            <w:r>
              <w:rPr/>
              <w:t>T-0009</w:t>
            </w:r>
          </w:p>
        </w:tc>
        <w:tc>
          <w:tcPr>
            <w:tcW w:w="2881"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1007" w:type="dxa"/>
            <w:tcBorders/>
            <w:vAlign w:val="center"/>
          </w:tcPr>
          <w:p>
            <w:pPr>
              <w:pStyle w:val="TableContents"/>
              <w:shd w:fill="2E3440" w:val="clear"/>
              <w:bidi w:val="0"/>
              <w:spacing w:before="120" w:after="120"/>
              <w:jc w:val="left"/>
              <w:rPr/>
            </w:pPr>
            <w:r>
              <w:rPr/>
              <w:t>T-0011</w:t>
            </w:r>
          </w:p>
        </w:tc>
        <w:tc>
          <w:tcPr>
            <w:tcW w:w="2881" w:type="dxa"/>
            <w:tcBorders/>
            <w:vAlign w:val="center"/>
          </w:tcPr>
          <w:p>
            <w:pPr>
              <w:pStyle w:val="TableContents"/>
              <w:shd w:fill="2E3440" w:val="clear"/>
              <w:bidi w:val="0"/>
              <w:spacing w:before="120" w:after="120"/>
              <w:jc w:val="left"/>
              <w:rPr/>
            </w:pPr>
            <w:r>
              <w:rPr/>
              <w:t>Autopilot ships: opens a PR, or merges once required checks are green</w:t>
            </w:r>
          </w:p>
        </w:tc>
      </w:tr>
      <w:tr>
        <w:trPr/>
        <w:tc>
          <w:tcPr>
            <w:tcW w:w="1007" w:type="dxa"/>
            <w:tcBorders/>
            <w:vAlign w:val="center"/>
          </w:tcPr>
          <w:p>
            <w:pPr>
              <w:pStyle w:val="TableContents"/>
              <w:shd w:fill="2E3440" w:val="clear"/>
              <w:bidi w:val="0"/>
              <w:spacing w:before="120" w:after="120"/>
              <w:jc w:val="left"/>
              <w:rPr/>
            </w:pPr>
            <w:r>
              <w:rPr/>
              <w:t>T-0012</w:t>
            </w:r>
          </w:p>
        </w:tc>
        <w:tc>
          <w:tcPr>
            <w:tcW w:w="2881" w:type="dxa"/>
            <w:tcBorders/>
            <w:vAlign w:val="center"/>
          </w:tcPr>
          <w:p>
            <w:pPr>
              <w:pStyle w:val="TableContents"/>
              <w:shd w:fill="2E3440" w:val="clear"/>
              <w:bidi w:val="0"/>
              <w:spacing w:before="120" w:after="120"/>
              <w:jc w:val="left"/>
              <w:rPr/>
            </w:pPr>
            <w:r>
              <w:rPr/>
              <w:t>Autopilot goals and backlogs, with per-run caps</w:t>
            </w:r>
          </w:p>
        </w:tc>
      </w:tr>
      <w:tr>
        <w:trPr/>
        <w:tc>
          <w:tcPr>
            <w:tcW w:w="1007" w:type="dxa"/>
            <w:tcBorders/>
            <w:vAlign w:val="center"/>
          </w:tcPr>
          <w:p>
            <w:pPr>
              <w:pStyle w:val="TableContents"/>
              <w:shd w:fill="2E3440" w:val="clear"/>
              <w:bidi w:val="0"/>
              <w:spacing w:before="120" w:after="120"/>
              <w:jc w:val="left"/>
              <w:rPr/>
            </w:pPr>
            <w:r>
              <w:rPr/>
              <w:t>T-0017</w:t>
            </w:r>
          </w:p>
        </w:tc>
        <w:tc>
          <w:tcPr>
            <w:tcW w:w="2881" w:type="dxa"/>
            <w:tcBorders/>
            <w:vAlign w:val="center"/>
          </w:tcPr>
          <w:p>
            <w:pPr>
              <w:pStyle w:val="TableContents"/>
              <w:shd w:fill="2E3440" w:val="clear"/>
              <w:bidi w:val="0"/>
              <w:spacing w:before="120" w:after="120"/>
              <w:jc w:val="left"/>
              <w:rPr/>
            </w:pPr>
            <w:r>
              <w:rPr/>
              <w:t>A machine opt-in for the automatic wrap-up</w:t>
            </w:r>
          </w:p>
        </w:tc>
      </w:tr>
      <w:tr>
        <w:trPr/>
        <w:tc>
          <w:tcPr>
            <w:tcW w:w="1007" w:type="dxa"/>
            <w:tcBorders/>
            <w:vAlign w:val="center"/>
          </w:tcPr>
          <w:p>
            <w:pPr>
              <w:pStyle w:val="TableContents"/>
              <w:shd w:fill="2E3440" w:val="clear"/>
              <w:bidi w:val="0"/>
              <w:spacing w:before="120" w:after="120"/>
              <w:jc w:val="left"/>
              <w:rPr/>
            </w:pPr>
            <w:r>
              <w:rPr/>
              <w:t>T-0019</w:t>
            </w:r>
          </w:p>
        </w:tc>
        <w:tc>
          <w:tcPr>
            <w:tcW w:w="2881" w:type="dxa"/>
            <w:tcBorders/>
            <w:vAlign w:val="center"/>
          </w:tcPr>
          <w:p>
            <w:pPr>
              <w:pStyle w:val="TableContents"/>
              <w:shd w:fill="2E3440" w:val="clear"/>
              <w:bidi w:val="0"/>
              <w:spacing w:before="120" w:after="120"/>
              <w:jc w:val="left"/>
              <w:rPr/>
            </w:pPr>
            <w:r>
              <w:rPr>
                <w:rStyle w:val="SourceText"/>
              </w:rPr>
              <w:t>/crew:autopilot assign</w:t>
            </w:r>
          </w:p>
        </w:tc>
      </w:tr>
      <w:tr>
        <w:trPr/>
        <w:tc>
          <w:tcPr>
            <w:tcW w:w="1007" w:type="dxa"/>
            <w:tcBorders/>
            <w:vAlign w:val="center"/>
          </w:tcPr>
          <w:p>
            <w:pPr>
              <w:pStyle w:val="TableContents"/>
              <w:shd w:fill="2E3440" w:val="clear"/>
              <w:bidi w:val="0"/>
              <w:spacing w:before="120" w:after="120"/>
              <w:jc w:val="left"/>
              <w:rPr/>
            </w:pPr>
            <w:r>
              <w:rPr/>
              <w:t>T-0020</w:t>
            </w:r>
          </w:p>
        </w:tc>
        <w:tc>
          <w:tcPr>
            <w:tcW w:w="2881" w:type="dxa"/>
            <w:tcBorders/>
            <w:vAlign w:val="center"/>
          </w:tcPr>
          <w:p>
            <w:pPr>
              <w:pStyle w:val="TableContents"/>
              <w:shd w:fill="2E3440" w:val="clear"/>
              <w:bidi w:val="0"/>
              <w:spacing w:before="120" w:after="120"/>
              <w:jc w:val="left"/>
              <w:rPr/>
            </w:pPr>
            <w:r>
              <w:rPr>
                <w:rStyle w:val="SourceText"/>
              </w:rPr>
              <w:t>/crew:autopilot focus</w:t>
            </w:r>
          </w:p>
        </w:tc>
      </w:tr>
      <w:tr>
        <w:trPr/>
        <w:tc>
          <w:tcPr>
            <w:tcW w:w="1007" w:type="dxa"/>
            <w:tcBorders/>
            <w:vAlign w:val="center"/>
          </w:tcPr>
          <w:p>
            <w:pPr>
              <w:pStyle w:val="TableContents"/>
              <w:shd w:fill="2E3440" w:val="clear"/>
              <w:bidi w:val="0"/>
              <w:spacing w:before="120" w:after="120"/>
              <w:jc w:val="left"/>
              <w:rPr/>
            </w:pPr>
            <w:r>
              <w:rPr/>
              <w:t>T-0029</w:t>
            </w:r>
          </w:p>
        </w:tc>
        <w:tc>
          <w:tcPr>
            <w:tcW w:w="2881" w:type="dxa"/>
            <w:tcBorders/>
            <w:vAlign w:val="center"/>
          </w:tcPr>
          <w:p>
            <w:pPr>
              <w:pStyle w:val="TableContents"/>
              <w:shd w:fill="2E3440" w:val="clear"/>
              <w:bidi w:val="0"/>
              <w:spacing w:before="120" w:after="120"/>
              <w:jc w:val="left"/>
              <w:rPr/>
            </w:pPr>
            <w:r>
              <w:rPr/>
              <w:t>Parallel autopilot lanes and a review policy</w:t>
            </w:r>
          </w:p>
        </w:tc>
      </w:tr>
      <w:tr>
        <w:trPr/>
        <w:tc>
          <w:tcPr>
            <w:tcW w:w="1007" w:type="dxa"/>
            <w:tcBorders/>
            <w:vAlign w:val="center"/>
          </w:tcPr>
          <w:p>
            <w:pPr>
              <w:pStyle w:val="TableContents"/>
              <w:shd w:fill="2E3440" w:val="clear"/>
              <w:bidi w:val="0"/>
              <w:spacing w:before="120" w:after="120"/>
              <w:jc w:val="left"/>
              <w:rPr/>
            </w:pPr>
            <w:r>
              <w:rPr/>
              <w:t>T-0030</w:t>
            </w:r>
          </w:p>
        </w:tc>
        <w:tc>
          <w:tcPr>
            <w:tcW w:w="2881" w:type="dxa"/>
            <w:tcBorders/>
            <w:vAlign w:val="center"/>
          </w:tcPr>
          <w:p>
            <w:pPr>
              <w:pStyle w:val="TableContents"/>
              <w:shd w:fill="2E3440" w:val="clear"/>
              <w:bidi w:val="0"/>
              <w:spacing w:before="120" w:after="120"/>
              <w:jc w:val="left"/>
              <w:rPr/>
            </w:pPr>
            <w:r>
              <w:rPr/>
              <w:t>Cross-session coordination claims</w:t>
            </w:r>
          </w:p>
        </w:tc>
      </w:tr>
      <w:tr>
        <w:trPr/>
        <w:tc>
          <w:tcPr>
            <w:tcW w:w="1007" w:type="dxa"/>
            <w:tcBorders/>
            <w:vAlign w:val="center"/>
          </w:tcPr>
          <w:p>
            <w:pPr>
              <w:pStyle w:val="TableContents"/>
              <w:shd w:fill="2E3440" w:val="clear"/>
              <w:bidi w:val="0"/>
              <w:spacing w:before="120" w:after="120"/>
              <w:jc w:val="left"/>
              <w:rPr/>
            </w:pPr>
            <w:r>
              <w:rPr/>
              <w:t>T-0044</w:t>
            </w:r>
          </w:p>
        </w:tc>
        <w:tc>
          <w:tcPr>
            <w:tcW w:w="2881"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1007" w:type="dxa"/>
            <w:tcBorders/>
            <w:vAlign w:val="center"/>
          </w:tcPr>
          <w:p>
            <w:pPr>
              <w:pStyle w:val="TableContents"/>
              <w:shd w:fill="2E3440" w:val="clear"/>
              <w:bidi w:val="0"/>
              <w:spacing w:before="120" w:after="120"/>
              <w:jc w:val="left"/>
              <w:rPr/>
            </w:pPr>
            <w:r>
              <w:rPr/>
              <w:t>T-0045</w:t>
            </w:r>
          </w:p>
        </w:tc>
        <w:tc>
          <w:tcPr>
            <w:tcW w:w="2881"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1007" w:type="dxa"/>
            <w:tcBorders/>
            <w:vAlign w:val="center"/>
          </w:tcPr>
          <w:p>
            <w:pPr>
              <w:pStyle w:val="TableContents"/>
              <w:shd w:fill="2E3440" w:val="clear"/>
              <w:bidi w:val="0"/>
              <w:spacing w:before="120" w:after="120"/>
              <w:jc w:val="left"/>
              <w:rPr/>
            </w:pPr>
            <w:r>
              <w:rPr/>
              <w:t>T-0046</w:t>
            </w:r>
          </w:p>
        </w:tc>
        <w:tc>
          <w:tcPr>
            <w:tcW w:w="2881" w:type="dxa"/>
            <w:tcBorders/>
            <w:vAlign w:val="center"/>
          </w:tcPr>
          <w:p>
            <w:pPr>
              <w:pStyle w:val="TableContents"/>
              <w:shd w:fill="2E3440" w:val="clear"/>
              <w:bidi w:val="0"/>
              <w:spacing w:before="120" w:after="120"/>
              <w:jc w:val="left"/>
              <w:rPr/>
            </w:pPr>
            <w:r>
              <w:rPr/>
              <w:t>Release bookkeeping admitted without a Touch entry</w:t>
            </w:r>
          </w:p>
        </w:tc>
      </w:tr>
      <w:tr>
        <w:trPr/>
        <w:tc>
          <w:tcPr>
            <w:tcW w:w="1007" w:type="dxa"/>
            <w:tcBorders/>
            <w:vAlign w:val="center"/>
          </w:tcPr>
          <w:p>
            <w:pPr>
              <w:pStyle w:val="TableContents"/>
              <w:shd w:fill="2E3440" w:val="clear"/>
              <w:bidi w:val="0"/>
              <w:spacing w:before="120" w:after="120"/>
              <w:jc w:val="left"/>
              <w:rPr/>
            </w:pPr>
            <w:r>
              <w:rPr/>
              <w:t>T-0054</w:t>
            </w:r>
          </w:p>
        </w:tc>
        <w:tc>
          <w:tcPr>
            <w:tcW w:w="2881" w:type="dxa"/>
            <w:tcBorders/>
            <w:vAlign w:val="center"/>
          </w:tcPr>
          <w:p>
            <w:pPr>
              <w:pStyle w:val="TableContents"/>
              <w:shd w:fill="2E3440" w:val="clear"/>
              <w:bidi w:val="0"/>
              <w:spacing w:before="120" w:after="120"/>
              <w:jc w:val="left"/>
              <w:rPr/>
            </w:pPr>
            <w:r>
              <w:rPr/>
              <w:t>A separate autopilot guide with worked examples</w:t>
            </w:r>
          </w:p>
        </w:tc>
      </w:tr>
      <w:tr>
        <w:trPr/>
        <w:tc>
          <w:tcPr>
            <w:tcW w:w="1007" w:type="dxa"/>
            <w:tcBorders/>
            <w:vAlign w:val="center"/>
          </w:tcPr>
          <w:p>
            <w:pPr>
              <w:pStyle w:val="TableContents"/>
              <w:shd w:fill="2E3440" w:val="clear"/>
              <w:bidi w:val="0"/>
              <w:spacing w:before="120" w:after="120"/>
              <w:jc w:val="left"/>
              <w:rPr/>
            </w:pPr>
            <w:r>
              <w:rPr/>
              <w:t>T-0506</w:t>
            </w:r>
          </w:p>
        </w:tc>
        <w:tc>
          <w:tcPr>
            <w:tcW w:w="2881"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is personal (the stricter of the two wins),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ind w:hanging="283" w:left="829"/>
        <w:jc w:val="left"/>
        <w:rPr/>
      </w:pPr>
      <w:r>
        <w:rPr>
          <w:rStyle w:val="SourceText"/>
        </w:rPr>
        <w:t>plugin/crew/CONFIG.md</w:t>
      </w:r>
      <w:r>
        <w:rPr/>
        <w:t xml:space="preserve"> holds the reasoning behind each setting, and ships with the plugin. </w:t>
      </w:r>
    </w:p>
    <w:p>
      <w:pPr>
        <w:pStyle w:val="BodyText"/>
        <w:bidi w:val="0"/>
        <w:spacing w:before="120" w:after="120"/>
        <w:jc w:val="left"/>
        <w:rPr/>
      </w:pPr>
      <w:r>
        <w:rPr/>
        <w:t xml:space="preserve">Every crew write to either file first copies the old file to </w:t>
      </w:r>
      <w:r>
        <w:rPr>
          <w:rStyle w:val="SourceText"/>
        </w:rPr>
        <w:t>~/.claude/crew/backups/</w:t>
      </w:r>
      <w:r>
        <w:rPr/>
        <w:t xml:space="preserve"> and is refused if that copy fails; </w:t>
      </w:r>
      <w:r>
        <w:rPr>
          <w:rStyle w:val="SourceText"/>
        </w:rPr>
        <w:t>crew_config.py --backups</w:t>
      </w:r>
      <w:r>
        <w:rPr/>
        <w:t xml:space="preserve"> lists the copies and </w:t>
      </w:r>
      <w:r>
        <w:rPr>
          <w:rStyle w:val="SourceText"/>
        </w:rPr>
        <w:t>--restore &lt;stamp&gt;</w:t>
      </w:r>
      <w:r>
        <w:rPr/>
        <w:t xml:space="preserve"> puts one back. crew also keeps your non-default values in </w:t>
      </w:r>
      <w:r>
        <w:rPr>
          <w:rStyle w:val="SourceText"/>
        </w:rPr>
        <w:t>~/.claude/crew/profile.json</w:t>
      </w:r>
      <w:r>
        <w:rPr/>
        <w:t xml:space="preserve">, so </w:t>
      </w:r>
      <w:r>
        <w:rPr>
          <w:rStyle w:val="SourceText"/>
        </w:rPr>
        <w:t>crew_config.py --rebuild --repo</w:t>
      </w:r>
      <w:r>
        <w:rPr/>
        <w:t xml:space="preserve"> (or </w:t>
      </w:r>
      <w:r>
        <w:rPr>
          <w:rStyle w:val="SourceText"/>
        </w:rPr>
        <w:t>--global</w:t>
      </w:r>
      <w:r>
        <w:rPr/>
        <w:t xml:space="preserve">) regenerates a lost or corrupt config from the template plus that profile, as a dry run until </w:t>
      </w:r>
      <w:r>
        <w:rPr>
          <w:rStyle w:val="SourceText"/>
        </w:rPr>
        <w:t>--apply</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1.0 -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