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 When the Playwright config lives in a module below the repository root, pass </w:t>
      </w:r>
      <w:r>
        <w:rPr>
          <w:rStyle w:val="SourceText"/>
        </w:rPr>
        <w:t>--module &lt;dir&gt;</w:t>
      </w:r>
      <w:r>
        <w:rPr/>
        <w:t>: the agents stay at the root, the seed test and specs come from the module, and the guards read that module's config:</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