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7"/>
        <w:gridCol w:w="4948"/>
        <w:gridCol w:w="5018"/>
        <w:gridCol w:w="986"/>
      </w:tblGrid>
      <w:tr>
        <w:trPr>
          <w:tblHeader w:val="true"/>
        </w:trPr>
        <w:tc>
          <w:tcPr>
            <w:tcW w:w="3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a </w:t>
            </w:r>
            <w:r>
              <w:rPr>
                <w:rStyle w:val="SourceText"/>
              </w:rPr>
              <w:t>config</w:t>
            </w:r>
            <w:r>
              <w:rPr/>
              <w:t xml:space="preserve"> line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Existing 0.20 repos only: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crew.json schema 1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a </w:t>
      </w:r>
      <w:r>
        <w:rPr>
          <w:rStyle w:val="SourceText"/>
        </w:rPr>
        <w:t>config</w:t>
      </w:r>
      <w:r>
        <w:rPr/>
        <w:t xml:space="preserve"> line naming a schema.</w:t>
      </w:r>
    </w:p>
    <w:p>
      <w:pPr>
        <w:pStyle w:val="BodyText"/>
        <w:bidi w:val="0"/>
        <w:jc w:val="left"/>
        <w:rPr/>
      </w:pPr>
      <w:r>
        <w:rPr/>
        <w:t xml:space="preserve">Today </w:t>
      </w:r>
      <w:r>
        <w:rPr>
          <w:rStyle w:val="SourceText"/>
        </w:rPr>
        <w:t>/crew:init</w:t>
      </w:r>
      <w:r>
        <w:rPr/>
        <w:t xml:space="preserve"> still writes the 0.20 </w:t>
      </w:r>
      <w:r>
        <w:rPr>
          <w:rStyle w:val="SourceText"/>
        </w:rPr>
        <w:t>.crew/config.json</w:t>
      </w:r>
      <w:r>
        <w:rPr/>
        <w:t xml:space="preserve">. Run step 4 straight after it until init writes </w:t>
      </w:r>
      <w:r>
        <w:rPr>
          <w:rStyle w:val="SourceText"/>
        </w:rPr>
        <w:t>.crew/crew.json</w:t>
      </w:r>
      <w:r>
        <w:rPr/>
        <w:t xml:space="preserve"> itself.</w:t>
      </w:r>
    </w:p>
    <w:p>
      <w:pPr>
        <w:pStyle w:val="Heading2"/>
        <w:bidi w:val="0"/>
        <w:ind w:hanging="0" w:left="0" w:right="0"/>
        <w:jc w:val="left"/>
        <w:rPr/>
      </w:pPr>
      <w:bookmarkStart w:id="8" w:name="4-existing-repositories-migrate-once"/>
      <w:bookmarkEnd w:id="8"/>
      <w:r>
        <w:rPr/>
        <w:t>4. Existing Repositories: Migrate Once</w:t>
      </w:r>
    </w:p>
    <w:p>
      <w:pPr>
        <w:pStyle w:val="BodyText"/>
        <w:bidi w:val="0"/>
        <w:jc w:val="left"/>
        <w:rPr/>
      </w:pPr>
      <w:r>
        <w:rPr/>
        <w:t xml:space="preserve">If the repository already used crew 0.20, or you just ran </w:t>
      </w:r>
      <w:r>
        <w:rPr>
          <w:rStyle w:val="SourceText"/>
        </w:rPr>
        <w:t>/crew:init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</w:t>
      </w:r>
      <w:r>
        <w:rPr>
          <w:rStyle w:val="SourceText"/>
        </w:rPr>
        <w:t>.crew/metrics.jsonl</w:t>
      </w:r>
      <w:r>
        <w:rPr/>
        <w:t xml:space="preserve">,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 and you may retire later.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In a repository whose web apps live in subdirectories, Phase 6 lists each one it finds and scaffolds it with </w:t>
      </w:r>
      <w:r>
        <w:rPr>
          <w:rStyle w:val="SourceText"/>
        </w:rPr>
        <w:t>--module &lt;dir&gt;</w:t>
      </w:r>
      <w:r>
        <w:rPr/>
        <w:t xml:space="preserve">: the tests go under that app's own </w:t>
      </w:r>
      <w:r>
        <w:rPr>
          <w:rStyle w:val="SourceText"/>
        </w:rPr>
        <w:t>testDir</w:t>
      </w:r>
      <w:r>
        <w:rPr/>
        <w:t xml:space="preserve">, and the agent and MCP files stay at the repository root.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22"/>
        <w:gridCol w:w="7317"/>
      </w:tblGrid>
      <w:tr>
        <w:trPr>
          <w:tblHeader w:val="true"/>
        </w:trPr>
        <w:tc>
          <w:tcPr>
            <w:tcW w:w="4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