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if-something-refuses"/>
      <w:bookmarkEnd w:id="4"/>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3">
        <w:r>
          <w:rPr>
            <w:rStyle w:val="Hyperlink"/>
          </w:rPr>
          <w:t>Troubleshooting</w:t>
        </w:r>
      </w:hyperlink>
      <w:r>
        <w:rPr/>
        <w:t xml:space="preserve"> for the rest.</w:t>
      </w:r>
    </w:p>
    <w:p>
      <w:pPr>
        <w:pStyle w:val="Heading2"/>
        <w:bidi w:val="0"/>
        <w:ind w:hanging="0" w:left="0" w:right="0"/>
        <w:jc w:val="left"/>
        <w:rPr/>
      </w:pPr>
      <w:bookmarkStart w:id="5" w:name="scope-and-approval"/>
      <w:bookmarkEnd w:id="5"/>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6" w:name="the-contract"/>
      <w:bookmarkEnd w:id="6"/>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2"/>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3"/>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7" w:name="approval"/>
      <w:bookmarkEnd w:id="7"/>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4"/>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4"/>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4"/>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8" w:name="while-you-implement-the-scope-guard"/>
      <w:bookmarkEnd w:id="8"/>
      <w:r>
        <w:rPr/>
        <w:t>While You Implement: The Scope Guard</w:t>
      </w:r>
    </w:p>
    <w:p>
      <w:pPr>
        <w:pStyle w:val="BodyText"/>
        <w:bidi w:val="0"/>
        <w:jc w:val="left"/>
        <w:rPr/>
      </w:pPr>
      <w:r>
        <w:rPr/>
        <w:t>Before every Write, Edit, MultiEdit or NotebookEdit, the guard checks the target file:</w:t>
      </w:r>
    </w:p>
    <w:p>
      <w:pPr>
        <w:pStyle w:val="BodyText"/>
        <w:numPr>
          <w:ilvl w:val="0"/>
          <w:numId w:val="5"/>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5"/>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5"/>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5"/>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9" w:name="at-the-end-of-a-turn-the-completion-audi"/>
      <w:bookmarkEnd w:id="9"/>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0" w:name="amending-scope"/>
      <w:bookmarkEnd w:id="10"/>
      <w:r>
        <w:rPr/>
        <w:t>Amending Scope</w:t>
      </w:r>
    </w:p>
    <w:p>
      <w:pPr>
        <w:pStyle w:val="BodyText"/>
        <w:numPr>
          <w:ilvl w:val="0"/>
          <w:numId w:val="6"/>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6"/>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6"/>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1" w:name="after-two-review-rounds-a-successor-plan"/>
      <w:bookmarkEnd w:id="11"/>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2" w:name="modes"/>
      <w:bookmarkEnd w:id="12"/>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3" w:name="which-ticket-is-active"/>
      <w:bookmarkEnd w:id="13"/>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