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135 keys</w:t>
      </w:r>
      <w:r>
        <w:rPr/>
        <w:t>: 74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52"/>
        <w:gridCol w:w="1302"/>
        <w:gridCol w:w="1156"/>
        <w:gridCol w:w="2222"/>
        <w:gridCol w:w="1363"/>
        <w:gridCol w:w="2876"/>
      </w:tblGrid>
      <w:tr>
        <w:trPr>
          <w:tblHeader w:val="true"/>
        </w:trPr>
        <w:tc>
          <w:tcPr>
            <w:tcW w:w="38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"merge"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 xml:space="preserve">: </w:t>
            </w:r>
            <w:r>
              <w:rPr>
                <w:rStyle w:val="SourceText"/>
              </w:rPr>
              <w:t>pr</w:t>
            </w:r>
            <w:r>
              <w:rPr/>
              <w:t xml:space="preserve"> pushes and opens the PR; </w:t>
            </w:r>
            <w:r>
              <w:rPr>
                <w:rStyle w:val="SourceText"/>
              </w:rPr>
              <w:t>merge</w:t>
            </w:r>
            <w:r>
              <w:rPr/>
              <w:t xml:space="preserve"> also merges it (a merge commit) once the required checks allow. Anything else reads as </w:t>
            </w:r>
            <w:r>
              <w:rPr>
                <w:rStyle w:val="SourceText"/>
              </w:rPr>
              <w:t>pr</w:t>
            </w:r>
            <w:r>
              <w:rPr/>
              <w:t>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check names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Required checks whose </w:t>
            </w:r>
            <w:r>
              <w:rPr>
                <w:rStyle w:val="SourceText"/>
              </w:rPr>
              <w:t>fail</w:t>
            </w:r>
            <w:r>
              <w:rPr/>
              <w:t xml:space="preserve"> does not block a merge, matched by exact name; anything but a list of strings reads as </w:t>
            </w:r>
            <w:r>
              <w:rPr>
                <w:rStyle w:val="SourceText"/>
              </w:rPr>
              <w:t>[]</w:t>
            </w:r>
            <w:r>
              <w:rPr/>
              <w:t>, with a warning.</w:t>
            </w:r>
          </w:p>
        </w:tc>
      </w:tr>
      <w:tr>
        <w:trPr/>
        <w:tc>
          <w:tcPr>
            <w:tcW w:w="38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60</w:t>
            </w:r>
          </w:p>
        </w:tc>
        <w:tc>
          <w:tcPr>
            <w:tcW w:w="2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3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1.0.366</w:t>
            </w:r>
          </w:p>
        </w:tc>
        <w:tc>
          <w:tcPr>
            <w:tcW w:w="28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Minutes </w:t>
            </w:r>
            <w:r>
              <w:rPr>
                <w:rStyle w:val="SourceText"/>
              </w:rPr>
              <w:t>ship</w:t>
            </w:r>
            <w:r>
              <w:rPr/>
              <w:t xml:space="preserve"> waits for the required checks; still pending, or green only after it, stops. Anything but a positive integer reads as 60,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2"/>
      <w:bookmarkEnd w:id="38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7"/>
      <w:bookmarkEnd w:id="39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29"/>
      <w:bookmarkEnd w:id="40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30"/>
      <w:bookmarkEnd w:id="41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50"/>
      <w:bookmarkEnd w:id="42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