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and </w:t>
      </w:r>
      <w:r>
        <w:rPr>
          <w:rStyle w:val="SourceText"/>
        </w:rPr>
        <w:t>/crew:done</w:t>
      </w:r>
      <w:r>
        <w:rPr/>
        <w:t xml:space="preserve"> also runs </w:t>
      </w:r>
      <w:r>
        <w:rPr>
          <w:rStyle w:val="SourceText"/>
        </w:rPr>
        <w:t>--check-follow-up</w:t>
      </w:r>
      <w:r>
        <w:rPr/>
        <w:t xml:space="preserve">, which fails until the follow-up's </w:t>
      </w:r>
      <w:r>
        <w:rPr>
          <w:rStyle w:val="SourceText"/>
        </w:rPr>
        <w:t>direction.md</w:t>
      </w:r>
      <w:r>
        <w:rPr/>
        <w:t xml:space="preserve"> quotes every line verbatim (a line the receipt carries twice, twice), and on a non-UTF-8 file or an unknown receipt kind.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staged for you to commit),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5"/>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5"/>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5"/>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6"/>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6"/>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7"/>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7"/>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7"/>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7"/>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7"/>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7"/>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7"/>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8"/>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8"/>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9"/>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9"/>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9"/>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9"/>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20"/>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0"/>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21"/>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1"/>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