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4050" w:type="dxa"/>
        <w:jc w:val="left"/>
        <w:tblInd w:w="28" w:type="dxa"/>
        <w:tblLayout w:type="fixed"/>
        <w:tblCellMar>
          <w:top w:w="28" w:type="dxa"/>
          <w:left w:w="28" w:type="dxa"/>
          <w:bottom w:w="28" w:type="dxa"/>
          <w:right w:w="28" w:type="dxa"/>
        </w:tblCellMar>
      </w:tblPr>
      <w:tblGrid>
        <w:gridCol w:w="2119"/>
        <w:gridCol w:w="2456"/>
        <w:gridCol w:w="3932"/>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3932"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393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if the context hook did not inject it</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393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3932"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injection itself has no separate switch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393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393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guards.profile</w:t>
            </w:r>
            <w:r>
              <w:rPr/>
              <w:t xml:space="preserve">, or </w:t>
            </w: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xml:space="preserve">, </w:t>
            </w:r>
            <w:r>
              <w:rPr>
                <w:rStyle w:val="SourceText"/>
              </w:rPr>
              <w:t>prodDatabase</w:t>
            </w:r>
            <w:r>
              <w:rPr/>
              <w:t xml:space="preserve">, </w:t>
            </w:r>
            <w:r>
              <w:rPr>
                <w:rStyle w:val="SourceText"/>
              </w:rPr>
              <w:t>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3932"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guards.overrides.roleWrites</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393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guards.overrides.deployWorkflow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guards.overrides.cloudGuard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3932"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guards.overrides.envGuard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3932"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3932"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3932"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t xml:space="preserve">— </w:t>
            </w:r>
            <w:r>
              <w:rPr/>
              <w:t xml:space="preserve">(always on; the handoff path is fixed at </w:t>
            </w:r>
            <w:r>
              <w:rPr>
                <w:rStyle w:val="SourceText"/>
              </w:rPr>
              <w:t>.work/HANDOFF.md</w:t>
            </w:r>
            <w:r>
              <w:rPr/>
              <w:t>)</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3932"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393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3932"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3932"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guards.profile: off</w:t>
      </w:r>
      <w:r>
        <w:rPr/>
        <w:t xml:space="preserve"> (which leaves the role-write, cloud and environment guards off)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{"context": {"enabled": false}}</w:t>
      </w:r>
      <w:r>
        <w:rPr/>
        <w:t xml:space="preserve"> stops the context hook and the Stop nag with it. There is no separate switch for injection since 1.0.0 (the </w:t>
      </w:r>
      <w:r>
        <w:rPr>
          <w:rStyle w:val="SourceText"/>
        </w:rPr>
        <w:t>memory.inject</w:t>
      </w:r>
      <w:r>
        <w:rPr/>
        <w:t xml:space="preserve"> setting was removed).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continues review only while a round of the ticket's three is left (a successor plan does not reopen the budget; the rounds already spent stay in the ledger and keep counting). With none left it says </w:t>
      </w:r>
      <w:r>
        <w:rPr>
          <w:rStyle w:val="SourceText"/>
        </w:rPr>
        <w:t>0 review rounds available</w:t>
      </w:r>
      <w:r>
        <w:rPr/>
        <w:t xml:space="preserve"> and the owner's </w:t>
      </w:r>
      <w:r>
        <w:rPr>
          <w:rStyle w:val="SourceText"/>
        </w:rPr>
        <w:t>review_ledger.py --ticket &lt;id&gt; --grant-round --by &lt;you&gt; --reason &lt;why&gt;</w:t>
      </w:r>
      <w:r>
        <w:rPr/>
        <w:t xml:space="preserve"> adds one; after a grant, approve a changed plan, or record the unchanged one with </w:t>
      </w:r>
      <w:r>
        <w:rPr>
          <w:rStyle w:val="SourceText"/>
        </w:rPr>
        <w:t>review_ledger.py --successor-plan &lt;sha256&gt;</w:t>
      </w:r>
      <w:r>
        <w:rPr/>
        <w:t xml:space="preserve">.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three per ticket.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two charged rounds that reruns and gets FINDINGS has spent the budget. If Codex is out of quota, use the next eligible provider. A fourth tool failure on one ticket reads </w:t>
      </w:r>
      <w:r>
        <w:rPr>
          <w:rStyle w:val="SourceText"/>
        </w:rPr>
        <w:t>NOT refunded - refund limit 3 per ticket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another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(the PowerShell gate, deleted in L-0869, only; no current message):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the gate itself was signalled mid-rule; it still exits 128+N.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4050" w:type="dxa"/>
        <w:jc w:val="left"/>
        <w:tblInd w:w="28" w:type="dxa"/>
        <w:tblLayout w:type="fixed"/>
        <w:tblCellMar>
          <w:top w:w="28" w:type="dxa"/>
          <w:left w:w="28" w:type="dxa"/>
          <w:bottom w:w="28" w:type="dxa"/>
          <w:right w:w="28" w:type="dxa"/>
        </w:tblCellMar>
      </w:tblPr>
      <w:tblGrid>
        <w:gridCol w:w="5413"/>
        <w:gridCol w:w="4323"/>
        <w:gridCol w:w="4314"/>
      </w:tblGrid>
      <w:tr>
        <w:trPr>
          <w:tblHeader w:val="true"/>
        </w:trPr>
        <w:tc>
          <w:tcPr>
            <w:tcW w:w="5413"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3" w:type="dxa"/>
            <w:tcBorders/>
            <w:vAlign w:val="center"/>
          </w:tcPr>
          <w:p>
            <w:pPr>
              <w:pStyle w:val="TableHeading"/>
              <w:suppressLineNumbers/>
              <w:shd w:fill="434C5E" w:val="clear"/>
              <w:bidi w:val="0"/>
              <w:spacing w:before="120" w:after="120"/>
              <w:jc w:val="left"/>
              <w:rPr/>
            </w:pPr>
            <w:r>
              <w:rPr/>
              <w:t>Means</w:t>
            </w:r>
          </w:p>
        </w:tc>
        <w:tc>
          <w:tcPr>
            <w:tcW w:w="4314" w:type="dxa"/>
            <w:tcBorders/>
            <w:vAlign w:val="center"/>
          </w:tcPr>
          <w:p>
            <w:pPr>
              <w:pStyle w:val="TableHeading"/>
              <w:suppressLineNumbers/>
              <w:shd w:fill="434C5E" w:val="clear"/>
              <w:bidi w:val="0"/>
              <w:spacing w:before="120" w:after="120"/>
              <w:jc w:val="left"/>
              <w:rPr/>
            </w:pPr>
            <w:r>
              <w:rPr/>
              <w:t>Do</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4323"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4314"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5413" w:type="dxa"/>
            <w:tcBorders/>
            <w:vAlign w:val="center"/>
          </w:tcPr>
          <w:p>
            <w:pPr>
              <w:pStyle w:val="TableContents"/>
              <w:shd w:fill="2E3440" w:val="clear"/>
              <w:bidi w:val="0"/>
              <w:spacing w:before="120" w:after="120"/>
              <w:jc w:val="left"/>
              <w:rPr/>
            </w:pPr>
            <w:r>
              <w:rPr>
                <w:rStyle w:val="SourceText"/>
              </w:rPr>
              <w:t>... reads released (...); only done closes it</w:t>
            </w:r>
          </w:p>
        </w:tc>
        <w:tc>
          <w:tcPr>
            <w:tcW w:w="4323" w:type="dxa"/>
            <w:tcBorders/>
            <w:vAlign w:val="center"/>
          </w:tcPr>
          <w:p>
            <w:pPr>
              <w:pStyle w:val="TableContents"/>
              <w:shd w:fill="2E3440" w:val="clear"/>
              <w:bidi w:val="0"/>
              <w:spacing w:before="120" w:after="120"/>
              <w:jc w:val="left"/>
              <w:rPr/>
            </w:pPr>
            <w:r>
              <w:rPr/>
              <w:t>the peer gave the ticket back unfinished</w:t>
            </w:r>
          </w:p>
        </w:tc>
        <w:tc>
          <w:tcPr>
            <w:tcW w:w="4314"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4323" w:type="dxa"/>
            <w:tcBorders/>
            <w:vAlign w:val="center"/>
          </w:tcPr>
          <w:p>
            <w:pPr>
              <w:pStyle w:val="TableContents"/>
              <w:shd w:fill="2E3440" w:val="clear"/>
              <w:bidi w:val="0"/>
              <w:spacing w:before="120" w:after="120"/>
              <w:jc w:val="left"/>
              <w:rPr/>
            </w:pPr>
            <w:r>
              <w:rPr/>
              <w:t>nobody on the channel has claimed that id</w:t>
            </w:r>
          </w:p>
        </w:tc>
        <w:tc>
          <w:tcPr>
            <w:tcW w:w="4314"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5413"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4323" w:type="dxa"/>
            <w:tcBorders/>
            <w:vAlign w:val="center"/>
          </w:tcPr>
          <w:p>
            <w:pPr>
              <w:pStyle w:val="TableContents"/>
              <w:shd w:fill="2E3440" w:val="clear"/>
              <w:bidi w:val="0"/>
              <w:spacing w:before="120" w:after="120"/>
              <w:jc w:val="left"/>
              <w:rPr/>
            </w:pPr>
            <w:r>
              <w:rPr/>
              <w:t>the short form is ambiguous</w:t>
            </w:r>
          </w:p>
        </w:tc>
        <w:tc>
          <w:tcPr>
            <w:tcW w:w="4314"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5413" w:type="dxa"/>
            <w:tcBorders/>
            <w:vAlign w:val="center"/>
          </w:tcPr>
          <w:p>
            <w:pPr>
              <w:pStyle w:val="TableContents"/>
              <w:shd w:fill="2E3440" w:val="clear"/>
              <w:bidi w:val="0"/>
              <w:spacing w:before="120" w:after="120"/>
              <w:jc w:val="left"/>
              <w:rPr/>
            </w:pPr>
            <w:r>
              <w:rPr>
                <w:rStyle w:val="SourceText"/>
              </w:rPr>
              <w:t>... unknown: its claim ... is corrupt (...)</w:t>
            </w:r>
          </w:p>
        </w:tc>
        <w:tc>
          <w:tcPr>
            <w:tcW w:w="4323" w:type="dxa"/>
            <w:tcBorders/>
            <w:vAlign w:val="center"/>
          </w:tcPr>
          <w:p>
            <w:pPr>
              <w:pStyle w:val="TableContents"/>
              <w:shd w:fill="2E3440" w:val="clear"/>
              <w:bidi w:val="0"/>
              <w:spacing w:before="120" w:after="120"/>
              <w:jc w:val="left"/>
              <w:rPr/>
            </w:pPr>
            <w:r>
              <w:rPr/>
              <w:t>the claim file does not parse</w:t>
            </w:r>
          </w:p>
        </w:tc>
        <w:tc>
          <w:tcPr>
            <w:tcW w:w="4314"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5413"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4323" w:type="dxa"/>
            <w:tcBorders/>
            <w:vAlign w:val="center"/>
          </w:tcPr>
          <w:p>
            <w:pPr>
              <w:pStyle w:val="TableContents"/>
              <w:shd w:fill="2E3440" w:val="clear"/>
              <w:bidi w:val="0"/>
              <w:spacing w:before="120" w:after="120"/>
              <w:jc w:val="left"/>
              <w:rPr/>
            </w:pPr>
            <w:r>
              <w:rPr/>
              <w:t>the channel is absent, or the remote cannot be reached</w:t>
            </w:r>
          </w:p>
        </w:tc>
        <w:tc>
          <w:tcPr>
            <w:tcW w:w="4314"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5413"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4323"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4314"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5413" w:type="dxa"/>
            <w:tcBorders/>
            <w:vAlign w:val="center"/>
          </w:tcPr>
          <w:p>
            <w:pPr>
              <w:pStyle w:val="TableContents"/>
              <w:shd w:fill="2E3440" w:val="clear"/>
              <w:bidi w:val="0"/>
              <w:spacing w:before="120" w:after="120"/>
              <w:jc w:val="left"/>
              <w:rPr/>
            </w:pPr>
            <w:r>
              <w:rPr>
                <w:rStyle w:val="SourceText"/>
              </w:rPr>
              <w:t>dependencies unknown: ...</w:t>
            </w:r>
          </w:p>
        </w:tc>
        <w:tc>
          <w:tcPr>
            <w:tcW w:w="4323"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4314"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4050" w:type="dxa"/>
        <w:jc w:val="left"/>
        <w:tblInd w:w="28" w:type="dxa"/>
        <w:tblLayout w:type="fixed"/>
        <w:tblCellMar>
          <w:top w:w="28" w:type="dxa"/>
          <w:left w:w="28" w:type="dxa"/>
          <w:bottom w:w="28" w:type="dxa"/>
          <w:right w:w="28" w:type="dxa"/>
        </w:tblCellMar>
      </w:tblPr>
      <w:tblGrid>
        <w:gridCol w:w="2601"/>
        <w:gridCol w:w="4320"/>
        <w:gridCol w:w="7129"/>
      </w:tblGrid>
      <w:tr>
        <w:trPr>
          <w:tblHeader w:val="true"/>
        </w:trPr>
        <w:tc>
          <w:tcPr>
            <w:tcW w:w="2601"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0" w:type="dxa"/>
            <w:tcBorders/>
            <w:vAlign w:val="center"/>
          </w:tcPr>
          <w:p>
            <w:pPr>
              <w:pStyle w:val="TableHeading"/>
              <w:suppressLineNumbers/>
              <w:shd w:fill="434C5E" w:val="clear"/>
              <w:bidi w:val="0"/>
              <w:spacing w:before="120" w:after="120"/>
              <w:jc w:val="left"/>
              <w:rPr/>
            </w:pPr>
            <w:r>
              <w:rPr/>
              <w:t>Means</w:t>
            </w:r>
          </w:p>
        </w:tc>
        <w:tc>
          <w:tcPr>
            <w:tcW w:w="7129" w:type="dxa"/>
            <w:tcBorders/>
            <w:vAlign w:val="center"/>
          </w:tcPr>
          <w:p>
            <w:pPr>
              <w:pStyle w:val="TableHeading"/>
              <w:suppressLineNumbers/>
              <w:shd w:fill="434C5E" w:val="clear"/>
              <w:bidi w:val="0"/>
              <w:spacing w:before="120" w:after="120"/>
              <w:jc w:val="left"/>
              <w:rPr/>
            </w:pPr>
            <w:r>
              <w:rPr/>
              <w:t>Do</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320"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7129"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unknown (...)</w:t>
            </w:r>
          </w:p>
        </w:tc>
        <w:tc>
          <w:tcPr>
            <w:tcW w:w="4320"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7129"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601" w:type="dxa"/>
            <w:tcBorders/>
            <w:vAlign w:val="center"/>
          </w:tcPr>
          <w:p>
            <w:pPr>
              <w:pStyle w:val="TableContents"/>
              <w:shd w:fill="2E3440" w:val="clear"/>
              <w:bidi w:val="0"/>
              <w:spacing w:before="120" w:after="120"/>
              <w:jc w:val="left"/>
              <w:rPr/>
            </w:pPr>
            <w:r>
              <w:rPr>
                <w:rStyle w:val="SourceText"/>
              </w:rPr>
              <w:t>contract bindings unknown (...)</w:t>
            </w:r>
          </w:p>
        </w:tc>
        <w:tc>
          <w:tcPr>
            <w:tcW w:w="4320"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7129"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guards.profile: off</w:t>
      </w:r>
      <w:r>
        <w:rPr/>
        <w:t xml:space="preserve">); turn it on with </w:t>
      </w:r>
      <w:r>
        <w:rPr>
          <w:rStyle w:val="SourceText"/>
        </w:rPr>
        <w:t>{"guards": {"overrides":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guards.profile: off</w:t>
      </w:r>
      <w:r>
        <w:rPr/>
        <w:t xml:space="preserve">); turn it on with </w:t>
      </w:r>
      <w:r>
        <w:rPr>
          <w:rStyle w:val="SourceText"/>
        </w:rPr>
        <w:t>{"guards": {"overrides":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 xml:space="preserve">A </w:t>
      </w:r>
      <w:r>
        <w:rPr>
          <w:rStyle w:val="SourceText"/>
        </w:rPr>
        <w:t>python3</w:t>
      </w:r>
      <w:r>
        <w:rPr>
          <w:rStyle w:val="Strong"/>
        </w:rPr>
        <w:t>/</w:t>
      </w:r>
      <w:r>
        <w:rPr>
          <w:rStyle w:val="SourceText"/>
        </w:rPr>
        <w:t>node</w:t>
      </w:r>
      <w:r>
        <w:rPr>
          <w:rStyle w:val="Strong"/>
        </w:rPr>
        <w:t xml:space="preserve"> line is refused as "a terraform-family line with python code that ...".</w:t>
      </w:r>
      <w:r>
        <w:rPr/>
        <w:t xml:space="preserve"> (L-0871, crew 1.2.63; before it the denial quoted an unrelated word such as </w:t>
      </w:r>
      <w:r>
        <w:rPr>
          <w:rStyle w:val="SourceText"/>
        </w:rPr>
        <w:t>'^JIRA_'</w:t>
      </w:r>
      <w:r>
        <w:rPr/>
        <w:t xml:space="preserve"> or </w:t>
      </w:r>
      <w:r>
        <w:rPr>
          <w:rStyle w:val="SourceText"/>
        </w:rPr>
        <w:t>'&lt;&lt;'</w:t>
      </w:r>
      <w:r>
        <w:rPr/>
        <w:t xml:space="preserve">.) With </w:t>
      </w:r>
      <w:r>
        <w:rPr>
          <w:rStyle w:val="SourceText"/>
        </w:rPr>
        <w:t>guards.overrides.terraformApply</w:t>
      </w:r>
      <w:r>
        <w:rPr/>
        <w:t xml:space="preserve"> armed, interpreter code is refused only when it names terraform, terragrunt or tofu (in the code or anywhere on the line), or reaches a process and builds the name: the denial says which, for example </w:t>
      </w:r>
      <w:r>
        <w:rPr>
          <w:rStyle w:val="SourceText"/>
        </w:rPr>
        <w:t>python code that spells 'terraform' out of fragments</w:t>
      </w:r>
      <w:r>
        <w:rPr/>
        <w:t xml:space="preserve"> or </w:t>
      </w:r>
      <w:r>
        <w:rPr>
          <w:rStyle w:val="SourceText"/>
        </w:rPr>
        <w:t>builds a name at run time ('chr(')</w:t>
      </w:r>
      <w:r>
        <w:rPr/>
        <w:t xml:space="preserve">. </w:t>
      </w:r>
      <w:r>
        <w:rPr>
          <w:rStyle w:val="SourceText"/>
        </w:rPr>
        <w:t>import os</w:t>
      </w:r>
      <w:r>
        <w:rPr/>
        <w:t xml:space="preserve">, </w:t>
      </w:r>
      <w:r>
        <w:rPr>
          <w:rStyle w:val="SourceText"/>
        </w:rPr>
        <w:t>import requests</w:t>
      </w:r>
      <w:r>
        <w:rPr/>
        <w:t xml:space="preserve">, </w:t>
      </w:r>
      <w:r>
        <w:rPr>
          <w:rStyle w:val="SourceText"/>
        </w:rPr>
        <w:t>os.environ.get(...)</w:t>
      </w:r>
      <w:r>
        <w:rPr/>
        <w:t xml:space="preserve"> and </w:t>
      </w:r>
      <w:r>
        <w:rPr>
          <w:rStyle w:val="SourceText"/>
        </w:rPr>
        <w:t>node -e "console.log(process.env.X)"</w:t>
      </w:r>
      <w:r>
        <w:rPr/>
        <w:t xml:space="preserve"> alone are allowed. </w:t>
      </w:r>
      <w:r>
        <w:rPr>
          <w:rStyle w:val="Strong"/>
        </w:rPr>
        <w:t>Fix:</w:t>
      </w:r>
      <w:r>
        <w:rPr/>
        <w:t xml:space="preserve"> write the command plainly (</w:t>
      </w:r>
      <w:r>
        <w:rPr>
          <w:rStyle w:val="SourceText"/>
        </w:rPr>
        <w:t>terraform apply</w:t>
      </w:r>
      <w:r>
        <w:rPr/>
        <w:t xml:space="preserve"> as its own command, where it is judged), or keep the name out of code that starts a process. Code that reads its command from the environment or a file and never names the tool is not caught (the credentials boundary is the control).</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context.enabled</w:t>
      </w:r>
      <w:r>
        <w:rPr/>
        <w:t xml:space="preserve"> is not </w:t>
      </w:r>
      <w:r>
        <w:rPr>
          <w:rStyle w:val="SourceText"/>
        </w:rPr>
        <w:t>false</w:t>
      </w:r>
      <w:r>
        <w:rPr/>
        <w:t xml:space="preserve"> — recall and code-map injection are always on since 1.0.0 while the context hook runs, so "no recall ever appears" with the hook switched off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`plugin/crew/docs/crew/config-rationale.md.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4050" w:type="dxa"/>
        <w:jc w:val="left"/>
        <w:tblInd w:w="28" w:type="dxa"/>
        <w:tblLayout w:type="fixed"/>
        <w:tblCellMar>
          <w:top w:w="28" w:type="dxa"/>
          <w:left w:w="28" w:type="dxa"/>
          <w:bottom w:w="28" w:type="dxa"/>
          <w:right w:w="28" w:type="dxa"/>
        </w:tblCellMar>
      </w:tblPr>
      <w:tblGrid>
        <w:gridCol w:w="4610"/>
        <w:gridCol w:w="1565"/>
        <w:gridCol w:w="2781"/>
        <w:gridCol w:w="5094"/>
      </w:tblGrid>
      <w:tr>
        <w:trPr>
          <w:tblHeader w:val="true"/>
        </w:trPr>
        <w:tc>
          <w:tcPr>
            <w:tcW w:w="4610" w:type="dxa"/>
            <w:tcBorders/>
            <w:vAlign w:val="center"/>
          </w:tcPr>
          <w:p>
            <w:pPr>
              <w:pStyle w:val="TableHeading"/>
              <w:suppressLineNumbers/>
              <w:shd w:fill="434C5E" w:val="clear"/>
              <w:bidi w:val="0"/>
              <w:spacing w:before="120" w:after="120"/>
              <w:jc w:val="left"/>
              <w:rPr/>
            </w:pPr>
            <w:r>
              <w:rPr/>
              <w:t>Key</w:t>
            </w:r>
          </w:p>
        </w:tc>
        <w:tc>
          <w:tcPr>
            <w:tcW w:w="1565" w:type="dxa"/>
            <w:tcBorders/>
            <w:vAlign w:val="center"/>
          </w:tcPr>
          <w:p>
            <w:pPr>
              <w:pStyle w:val="TableHeading"/>
              <w:suppressLineNumbers/>
              <w:shd w:fill="434C5E" w:val="clear"/>
              <w:bidi w:val="0"/>
              <w:spacing w:before="120" w:after="120"/>
              <w:jc w:val="left"/>
              <w:rPr/>
            </w:pPr>
            <w:r>
              <w:rPr/>
              <w:t>Lives in</w:t>
            </w:r>
          </w:p>
        </w:tc>
        <w:tc>
          <w:tcPr>
            <w:tcW w:w="2781" w:type="dxa"/>
            <w:tcBorders/>
            <w:vAlign w:val="center"/>
          </w:tcPr>
          <w:p>
            <w:pPr>
              <w:pStyle w:val="TableHeading"/>
              <w:suppressLineNumbers/>
              <w:shd w:fill="434C5E" w:val="clear"/>
              <w:bidi w:val="0"/>
              <w:spacing w:before="120" w:after="120"/>
              <w:jc w:val="left"/>
              <w:rPr/>
            </w:pPr>
            <w:r>
              <w:rPr/>
              <w:t>Values</w:t>
            </w:r>
          </w:p>
        </w:tc>
        <w:tc>
          <w:tcPr>
            <w:tcW w:w="5094" w:type="dxa"/>
            <w:tcBorders/>
            <w:vAlign w:val="center"/>
          </w:tcPr>
          <w:p>
            <w:pPr>
              <w:pStyle w:val="TableHeading"/>
              <w:suppressLineNumbers/>
              <w:shd w:fill="434C5E" w:val="clear"/>
              <w:bidi w:val="0"/>
              <w:spacing w:before="120" w:after="120"/>
              <w:jc w:val="left"/>
              <w:rPr/>
            </w:pPr>
            <w:r>
              <w:rPr/>
              <w:t>What "off"/floor means</w:t>
            </w:r>
          </w:p>
        </w:tc>
      </w:tr>
      <w:tr>
        <w:trPr/>
        <w:tc>
          <w:tcPr>
            <w:tcW w:w="4610" w:type="dxa"/>
            <w:tcBorders/>
            <w:vAlign w:val="center"/>
          </w:tcPr>
          <w:p>
            <w:pPr>
              <w:pStyle w:val="TableContents"/>
              <w:shd w:fill="2E3440" w:val="clear"/>
              <w:bidi w:val="0"/>
              <w:spacing w:before="120" w:after="120"/>
              <w:jc w:val="left"/>
              <w:rPr/>
            </w:pPr>
            <w:r>
              <w:rPr>
                <w:rStyle w:val="SourceText"/>
              </w:rPr>
              <w:t>autopilot.mode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610" w:type="dxa"/>
            <w:tcBorders/>
            <w:vAlign w:val="center"/>
          </w:tcPr>
          <w:p>
            <w:pPr>
              <w:pStyle w:val="TableContents"/>
              <w:shd w:fill="2E3440" w:val="clear"/>
              <w:bidi w:val="0"/>
              <w:spacing w:before="120" w:after="120"/>
              <w:jc w:val="left"/>
              <w:rPr/>
            </w:pPr>
            <w:r>
              <w:rPr>
                <w:rStyle w:val="SourceText"/>
              </w:rPr>
              <w:t>guards.profile</w:t>
            </w:r>
          </w:p>
        </w:tc>
        <w:tc>
          <w:tcPr>
            <w:tcW w:w="1565" w:type="dxa"/>
            <w:tcBorders/>
            <w:vAlign w:val="center"/>
          </w:tcPr>
          <w:p>
            <w:pPr>
              <w:pStyle w:val="TableContents"/>
              <w:shd w:fill="2E3440" w:val="clear"/>
              <w:bidi w:val="0"/>
              <w:spacing w:before="120" w:after="120"/>
              <w:jc w:val="left"/>
              <w:rPr/>
            </w:pPr>
            <w:r>
              <w:rPr/>
              <w:t>both layers (expands per layer)</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standard</w:t>
            </w:r>
            <w:r>
              <w:rPr/>
              <w:t>/</w:t>
            </w:r>
            <w:r>
              <w:rPr>
                <w:rStyle w:val="SourceText"/>
              </w:rPr>
              <w:t>strict</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the cloud, environment and role-write guards are off and the others sit at their narrowest tier. Set one guard away from the profile with </w:t>
            </w:r>
            <w:r>
              <w:rPr>
                <w:rStyle w:val="SourceText"/>
              </w:rPr>
              <w:t>guards.overrides.&lt;guard&gt;</w:t>
            </w:r>
            <w:r>
              <w:rPr/>
              <w:t>; the narrower layer wins per guard</w:t>
            </w:r>
          </w:p>
        </w:tc>
      </w:tr>
      <w:tr>
        <w:trPr/>
        <w:tc>
          <w:tcPr>
            <w:tcW w:w="4610" w:type="dxa"/>
            <w:tcBorders/>
            <w:vAlign w:val="center"/>
          </w:tcPr>
          <w:p>
            <w:pPr>
              <w:pStyle w:val="TableContents"/>
              <w:shd w:fill="2E3440" w:val="clear"/>
              <w:bidi w:val="0"/>
              <w:spacing w:before="120" w:after="120"/>
              <w:jc w:val="left"/>
              <w:rPr/>
            </w:pPr>
            <w:r>
              <w:rPr>
                <w:rStyle w:val="SourceText"/>
              </w:rPr>
              <w:t>guards.overrides.cloudGuard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guards.overrides.envGuard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guards.overrides.roleWrites</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10" w:type="dxa"/>
            <w:tcBorders/>
            <w:vAlign w:val="center"/>
          </w:tcPr>
          <w:p>
            <w:pPr>
              <w:pStyle w:val="TableContents"/>
              <w:shd w:fill="2E3440" w:val="clear"/>
              <w:bidi w:val="0"/>
              <w:spacing w:before="120" w:after="120"/>
              <w:jc w:val="left"/>
              <w:rPr/>
            </w:pP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10" w:type="dxa"/>
            <w:tcBorders/>
            <w:vAlign w:val="center"/>
          </w:tcPr>
          <w:p>
            <w:pPr>
              <w:pStyle w:val="TableContents"/>
              <w:shd w:fill="2E3440" w:val="clear"/>
              <w:bidi w:val="0"/>
              <w:spacing w:before="120" w:after="120"/>
              <w:jc w:val="left"/>
              <w:rPr/>
            </w:pPr>
            <w:r>
              <w:rPr>
                <w:rStyle w:val="SourceText"/>
              </w:rPr>
              <w:t>guards.overrides.deployWorkflow</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environments.nonProd</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list of globs</w:t>
            </w:r>
          </w:p>
        </w:tc>
        <w:tc>
          <w:tcPr>
            <w:tcW w:w="5094"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environments.prodUnattended</w:t>
            </w:r>
          </w:p>
        </w:tc>
        <w:tc>
          <w:tcPr>
            <w:tcW w:w="1565"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610" w:type="dxa"/>
            <w:tcBorders/>
            <w:vAlign w:val="center"/>
          </w:tcPr>
          <w:p>
            <w:pPr>
              <w:pStyle w:val="TableContents"/>
              <w:shd w:fill="2E3440" w:val="clear"/>
              <w:bidi w:val="0"/>
              <w:spacing w:before="120" w:after="120"/>
              <w:jc w:val="left"/>
              <w:rPr/>
            </w:pPr>
            <w:r>
              <w:rPr>
                <w:rStyle w:val="SourceText"/>
              </w:rPr>
              <w:t>guards.overrides.prodDatabase</w:t>
            </w:r>
            <w:r>
              <w:rPr/>
              <w:t xml:space="preserve">, </w:t>
            </w:r>
            <w:r>
              <w:rPr>
                <w:rStyle w:val="SourceText"/>
              </w:rPr>
              <w:t>guards.overrides.prodServer</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094"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10" w:type="dxa"/>
            <w:tcBorders/>
            <w:vAlign w:val="center"/>
          </w:tcPr>
          <w:p>
            <w:pPr>
              <w:pStyle w:val="TableContents"/>
              <w:shd w:fill="2E3440" w:val="clear"/>
              <w:bidi w:val="0"/>
              <w:spacing w:before="120" w:after="120"/>
              <w:jc w:val="left"/>
              <w:rPr/>
            </w:pPr>
            <w:r>
              <w:rPr>
                <w:rStyle w:val="SourceText"/>
              </w:rPr>
              <w:t>scope.mode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094"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10" w:type="dxa"/>
            <w:tcBorders/>
            <w:vAlign w:val="center"/>
          </w:tcPr>
          <w:p>
            <w:pPr>
              <w:pStyle w:val="TableContents"/>
              <w:shd w:fill="2E3440" w:val="clear"/>
              <w:bidi w:val="0"/>
              <w:spacing w:before="120" w:after="120"/>
              <w:jc w:val="left"/>
              <w:rPr/>
            </w:pPr>
            <w:r>
              <w:rPr>
                <w:rStyle w:val="SourceText"/>
              </w:rPr>
              <w:t>scope.allowCliApproval</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10" w:type="dxa"/>
            <w:tcBorders/>
            <w:vAlign w:val="center"/>
          </w:tcPr>
          <w:p>
            <w:pPr>
              <w:pStyle w:val="TableContents"/>
              <w:shd w:fill="2E3440" w:val="clear"/>
              <w:bidi w:val="0"/>
              <w:spacing w:before="120" w:after="120"/>
              <w:jc w:val="left"/>
              <w:rPr/>
            </w:pPr>
            <w:r>
              <w:rPr>
                <w:rStyle w:val="SourceText"/>
              </w:rPr>
              <w:t>verifyGate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10" w:type="dxa"/>
            <w:tcBorders/>
            <w:vAlign w:val="center"/>
          </w:tcPr>
          <w:p>
            <w:pPr>
              <w:pStyle w:val="TableContents"/>
              <w:shd w:fill="2E3440" w:val="clear"/>
              <w:bidi w:val="0"/>
              <w:spacing w:before="120" w:after="120"/>
              <w:jc w:val="left"/>
              <w:rPr/>
            </w:pPr>
            <w:r>
              <w:rPr>
                <w:rStyle w:val="SourceText"/>
              </w:rPr>
              <w:t>context.enabled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10" w:type="dxa"/>
            <w:tcBorders/>
            <w:vAlign w:val="center"/>
          </w:tcPr>
          <w:p>
            <w:pPr>
              <w:pStyle w:val="TableContents"/>
              <w:shd w:fill="2E3440" w:val="clear"/>
              <w:bidi w:val="0"/>
              <w:spacing w:before="120" w:after="120"/>
              <w:jc w:val="left"/>
              <w:rPr/>
            </w:pPr>
            <w:r>
              <w:rPr>
                <w:rStyle w:val="SourceText"/>
              </w:rPr>
              <w:t>context.autoClear.enabled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disables the clear leg of the wrap-up/clear loop (the wrap-up itself is always on)</w:t>
            </w:r>
          </w:p>
        </w:tc>
      </w:tr>
      <w:tr>
        <w:trPr/>
        <w:tc>
          <w:tcPr>
            <w:tcW w:w="4610" w:type="dxa"/>
            <w:tcBorders/>
            <w:vAlign w:val="center"/>
          </w:tcPr>
          <w:p>
            <w:pPr>
              <w:pStyle w:val="TableContents"/>
              <w:shd w:fill="2E3440" w:val="clear"/>
              <w:bidi w:val="0"/>
              <w:spacing w:before="120" w:after="120"/>
              <w:jc w:val="left"/>
              <w:rPr/>
            </w:pPr>
            <w:r>
              <w:rPr>
                <w:rStyle w:val="SourceText"/>
              </w:rPr>
              <w:t>notify.provider</w:t>
            </w:r>
          </w:p>
        </w:tc>
        <w:tc>
          <w:tcPr>
            <w:tcW w:w="1565" w:type="dxa"/>
            <w:tcBorders/>
            <w:vAlign w:val="center"/>
          </w:tcPr>
          <w:p>
            <w:pPr>
              <w:pStyle w:val="TableContents"/>
              <w:shd w:fill="2E3440" w:val="clear"/>
              <w:bidi w:val="0"/>
              <w:spacing w:before="120" w:after="120"/>
              <w:jc w:val="left"/>
              <w:rPr/>
            </w:pPr>
            <w:r>
              <w:rPr/>
              <w:t>both layers (a repo null inherits the global one)</w:t>
            </w:r>
          </w:p>
        </w:tc>
        <w:tc>
          <w:tcPr>
            <w:tcW w:w="2781"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094"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610" w:type="dxa"/>
            <w:tcBorders/>
            <w:vAlign w:val="center"/>
          </w:tcPr>
          <w:p>
            <w:pPr>
              <w:pStyle w:val="TableContents"/>
              <w:shd w:fill="2E3440" w:val="clear"/>
              <w:bidi w:val="0"/>
              <w:spacing w:before="120" w:after="120"/>
              <w:jc w:val="left"/>
              <w:rPr/>
            </w:pPr>
            <w:r>
              <w:rPr>
                <w:rStyle w:val="SourceText"/>
              </w:rPr>
              <w:t>change.requireForProduction</w:t>
            </w:r>
          </w:p>
        </w:tc>
        <w:tc>
          <w:tcPr>
            <w:tcW w:w="1565" w:type="dxa"/>
            <w:tcBorders/>
            <w:vAlign w:val="center"/>
          </w:tcPr>
          <w:p>
            <w:pPr>
              <w:pStyle w:val="TableContents"/>
              <w:shd w:fill="2E3440" w:val="clear"/>
              <w:bidi w:val="0"/>
              <w:spacing w:before="120" w:after="120"/>
              <w:jc w:val="left"/>
              <w:rPr/>
            </w:pPr>
            <w:r>
              <w:rPr/>
              <w:t>both layers, ratchets (may only turn ON)</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10" w:type="dxa"/>
            <w:tcBorders/>
            <w:vAlign w:val="center"/>
          </w:tcPr>
          <w:p>
            <w:pPr>
              <w:pStyle w:val="TableContents"/>
              <w:shd w:fill="2E3440" w:val="clear"/>
              <w:bidi w:val="0"/>
              <w:spacing w:before="120" w:after="120"/>
              <w:jc w:val="left"/>
              <w:rPr/>
            </w:pPr>
            <w:r>
              <w:rPr>
                <w:rStyle w:val="SourceText"/>
              </w:rPr>
              <w:t>install.policy</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t xml:space="preserve">see </w:t>
            </w:r>
            <w:r>
              <w:rPr>
                <w:rStyle w:val="SourceText"/>
              </w:rPr>
              <w:t>docs/crew/config-rationale.md</w:t>
            </w:r>
            <w:r>
              <w:rPr/>
              <w:t>, "install.policy"</w:t>
            </w:r>
          </w:p>
        </w:tc>
        <w:tc>
          <w:tcPr>
            <w:tcW w:w="5094"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guards.overrides.terraformApply: allow</w:t>
      </w:r>
      <w:r>
        <w:rPr/>
        <w:t xml:space="preserve"> and </w:t>
      </w:r>
      <w:r>
        <w:rPr>
          <w:rStyle w:val="SourceText"/>
        </w:rPr>
        <w:t>environments.prodUnattended</w:t>
      </w:r>
      <w:r>
        <w:rPr/>
        <w:t xml:space="preserve"> included. The full decision table is in </w:t>
      </w:r>
      <w:r>
        <w:rPr>
          <w:rStyle w:val="SourceText"/>
        </w:rPr>
        <w:t>docs/crew/config-rationale.md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(and that one record) passes its script path and its path arguments (</w:t>
      </w:r>
      <w:r>
        <w:rPr>
          <w:rStyle w:val="SourceText"/>
        </w:rPr>
        <w:t>--root</w:t>
      </w:r>
      <w:r>
        <w:rPr/>
        <w:t xml:space="preserve"> and config data paths)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the PreCompact </w:t>
      </w:r>
      <w:r>
        <w:rPr>
          <w:rStyle w:val="SourceText"/>
        </w:rPr>
        <w:t>crew_resume.py</w:t>
      </w:r>
      <w:r>
        <w:rPr/>
        <w:t xml:space="preserve"> record in </w:t>
      </w:r>
      <w:r>
        <w:rPr>
          <w:rStyle w:val="SourceText"/>
        </w:rPr>
        <w:t>handoff-write.sh</w:t>
      </w:r>
      <w:r>
        <w:rPr/>
        <w:t xml:space="preserve">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(chosen automatically; </w:t>
      </w:r>
      <w:r>
        <w:rPr>
          <w:rStyle w:val="SourceText"/>
        </w:rPr>
        <w:t>shellRoute.mode</w:t>
      </w:r>
      <w:r>
        <w:rPr/>
        <w:t xml:space="preserve"> was removed)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2 seconds, polls the pane for an idle, empty input line for up to 15 seconds (both fixed),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and fixed that way: </w:t>
      </w:r>
      <w:r>
        <w:rPr>
          <w:rStyle w:val="SourceText"/>
        </w:rPr>
        <w:t>context.autoWrapUp</w:t>
      </w:r>
      <w:r>
        <w:rPr/>
        <w:t xml:space="preserve">, </w:t>
      </w:r>
      <w:r>
        <w:rPr>
          <w:rStyle w:val="SourceText"/>
        </w:rPr>
        <w:t>context.autoResume</w:t>
      </w:r>
      <w:r>
        <w:rPr/>
        <w:t xml:space="preserve"> and </w:t>
      </w:r>
      <w:r>
        <w:rPr>
          <w:rStyle w:val="SourceText"/>
        </w:rPr>
        <w:t>memory.inject</w:t>
      </w:r>
      <w:r>
        <w:rPr/>
        <w:t xml:space="preserve"> were removed, so the wrap-up instruction and the handoff injection cannot be switched off. Auto-clear is </w:t>
      </w:r>
      <w:r>
        <w:rPr>
          <w:rStyle w:val="Strong"/>
        </w:rPr>
        <w:t>off</w:t>
      </w:r>
      <w:r>
        <w:rPr/>
        <w:t xml:space="preserve"> by default. You turn it on per machine, in the machine-global config, because it drives this machine's keyboard:</w:t>
      </w:r>
    </w:p>
    <w:tbl>
      <w:tblPr>
        <w:tblW w:w="14050" w:type="dxa"/>
        <w:jc w:val="left"/>
        <w:tblInd w:w="28" w:type="dxa"/>
        <w:tblLayout w:type="fixed"/>
        <w:tblCellMar>
          <w:top w:w="28" w:type="dxa"/>
          <w:left w:w="28" w:type="dxa"/>
          <w:bottom w:w="28" w:type="dxa"/>
          <w:right w:w="28" w:type="dxa"/>
        </w:tblCellMar>
      </w:tblPr>
      <w:tblGrid>
        <w:gridCol w:w="2816"/>
        <w:gridCol w:w="4100"/>
        <w:gridCol w:w="2881"/>
        <w:gridCol w:w="4253"/>
      </w:tblGrid>
      <w:tr>
        <w:trPr>
          <w:tblHeader w:val="true"/>
        </w:trPr>
        <w:tc>
          <w:tcPr>
            <w:tcW w:w="2816"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881" w:type="dxa"/>
            <w:tcBorders/>
            <w:vAlign w:val="center"/>
          </w:tcPr>
          <w:p>
            <w:pPr>
              <w:pStyle w:val="TableHeading"/>
              <w:suppressLineNumbers/>
              <w:shd w:fill="434C5E" w:val="clear"/>
              <w:bidi w:val="0"/>
              <w:spacing w:before="120" w:after="120"/>
              <w:jc w:val="left"/>
              <w:rPr/>
            </w:pPr>
            <w:r>
              <w:rPr/>
              <w:t>Value</w:t>
            </w:r>
          </w:p>
        </w:tc>
        <w:tc>
          <w:tcPr>
            <w:tcW w:w="4253" w:type="dxa"/>
            <w:tcBorders/>
            <w:vAlign w:val="center"/>
          </w:tcPr>
          <w:p>
            <w:pPr>
              <w:pStyle w:val="TableHeading"/>
              <w:suppressLineNumbers/>
              <w:shd w:fill="434C5E" w:val="clear"/>
              <w:bidi w:val="0"/>
              <w:spacing w:before="120" w:after="120"/>
              <w:jc w:val="left"/>
              <w:rPr/>
            </w:pPr>
            <w:r>
              <w:rPr/>
              <w:t>Effect</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88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2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881" w:type="dxa"/>
            <w:tcBorders/>
            <w:vAlign w:val="center"/>
          </w:tcPr>
          <w:p>
            <w:pPr>
              <w:pStyle w:val="TableContents"/>
              <w:shd w:fill="2E3440" w:val="clear"/>
              <w:bidi w:val="0"/>
              <w:spacing w:before="120" w:after="120"/>
              <w:jc w:val="left"/>
              <w:rPr/>
            </w:pPr>
            <w:r>
              <w:rPr>
                <w:rStyle w:val="SourceText"/>
              </w:rPr>
              <w:t>3</w:t>
            </w:r>
          </w:p>
        </w:tc>
        <w:tc>
          <w:tcPr>
            <w:tcW w:w="4253" w:type="dxa"/>
            <w:tcBorders/>
            <w:vAlign w:val="center"/>
          </w:tcPr>
          <w:p>
            <w:pPr>
              <w:pStyle w:val="TableContents"/>
              <w:shd w:fill="2E3440" w:val="clear"/>
              <w:bidi w:val="0"/>
              <w:spacing w:before="120" w:after="120"/>
              <w:jc w:val="left"/>
              <w:rPr/>
            </w:pPr>
            <w:r>
              <w:rPr/>
              <w:t>wait before typing, so the prompt exists</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881" w:type="dxa"/>
            <w:tcBorders/>
            <w:vAlign w:val="center"/>
          </w:tcPr>
          <w:p>
            <w:pPr>
              <w:pStyle w:val="TableContents"/>
              <w:shd w:fill="2E3440" w:val="clear"/>
              <w:bidi w:val="0"/>
              <w:spacing w:before="120" w:after="120"/>
              <w:jc w:val="left"/>
              <w:rPr/>
            </w:pPr>
            <w:r>
              <w:rPr>
                <w:rStyle w:val="SourceText"/>
              </w:rPr>
              <w:t>5</w:t>
            </w:r>
          </w:p>
        </w:tc>
        <w:tc>
          <w:tcPr>
            <w:tcW w:w="4253" w:type="dxa"/>
            <w:tcBorders/>
            <w:vAlign w:val="center"/>
          </w:tcPr>
          <w:p>
            <w:pPr>
              <w:pStyle w:val="TableContents"/>
              <w:shd w:fill="2E3440" w:val="clear"/>
              <w:bidi w:val="0"/>
              <w:spacing w:before="120" w:after="120"/>
              <w:jc w:val="left"/>
              <w:rPr/>
            </w:pPr>
            <w:r>
              <w:rPr/>
              <w:t>a shorter handoff counts as a stub</w:t>
            </w:r>
          </w:p>
        </w:tc>
      </w:tr>
      <w:tr>
        <w:trPr/>
        <w:tc>
          <w:tcPr>
            <w:tcW w:w="2816"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816"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816"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turns off the whole context watcher, wrap-up included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4050" w:type="dxa"/>
        <w:jc w:val="left"/>
        <w:tblInd w:w="28" w:type="dxa"/>
        <w:tblLayout w:type="fixed"/>
        <w:tblCellMar>
          <w:top w:w="28" w:type="dxa"/>
          <w:left w:w="28" w:type="dxa"/>
          <w:bottom w:w="28" w:type="dxa"/>
          <w:right w:w="28" w:type="dxa"/>
        </w:tblCellMar>
      </w:tblPr>
      <w:tblGrid>
        <w:gridCol w:w="1180"/>
        <w:gridCol w:w="8926"/>
        <w:gridCol w:w="3944"/>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926" w:type="dxa"/>
            <w:tcBorders/>
            <w:vAlign w:val="center"/>
          </w:tcPr>
          <w:p>
            <w:pPr>
              <w:pStyle w:val="TableHeading"/>
              <w:suppressLineNumbers/>
              <w:shd w:fill="434C5E" w:val="clear"/>
              <w:bidi w:val="0"/>
              <w:spacing w:before="120" w:after="120"/>
              <w:jc w:val="left"/>
              <w:rPr/>
            </w:pPr>
            <w:r>
              <w:rPr/>
              <w:t>What it does</w:t>
            </w:r>
          </w:p>
        </w:tc>
        <w:tc>
          <w:tcPr>
            <w:tcW w:w="3944"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92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944"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92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944"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92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944"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92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944"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926" w:type="dxa"/>
            <w:tcBorders/>
            <w:vAlign w:val="center"/>
          </w:tcPr>
          <w:p>
            <w:pPr>
              <w:pStyle w:val="TableContents"/>
              <w:shd w:fill="2E3440" w:val="clear"/>
              <w:bidi w:val="0"/>
              <w:spacing w:before="120" w:after="120"/>
              <w:jc w:val="left"/>
              <w:rPr/>
            </w:pPr>
            <w:r>
              <w:rPr/>
              <w:t>Refused outright.</w:t>
            </w:r>
          </w:p>
        </w:tc>
        <w:tc>
          <w:tcPr>
            <w:tcW w:w="3944"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4050" w:type="dxa"/>
        <w:jc w:val="left"/>
        <w:tblInd w:w="28" w:type="dxa"/>
        <w:tblLayout w:type="fixed"/>
        <w:tblCellMar>
          <w:top w:w="28" w:type="dxa"/>
          <w:left w:w="28" w:type="dxa"/>
          <w:bottom w:w="28" w:type="dxa"/>
          <w:right w:w="28" w:type="dxa"/>
        </w:tblCellMar>
      </w:tblPr>
      <w:tblGrid>
        <w:gridCol w:w="6085"/>
        <w:gridCol w:w="7965"/>
      </w:tblGrid>
      <w:tr>
        <w:trPr>
          <w:tblHeader w:val="true"/>
        </w:trPr>
        <w:tc>
          <w:tcPr>
            <w:tcW w:w="6085" w:type="dxa"/>
            <w:tcBorders/>
            <w:vAlign w:val="center"/>
          </w:tcPr>
          <w:p>
            <w:pPr>
              <w:pStyle w:val="TableHeading"/>
              <w:suppressLineNumbers/>
              <w:shd w:fill="434C5E" w:val="clear"/>
              <w:bidi w:val="0"/>
              <w:spacing w:before="120" w:after="120"/>
              <w:jc w:val="left"/>
              <w:rPr/>
            </w:pPr>
            <w:r>
              <w:rPr/>
              <w:t>Log says</w:t>
            </w:r>
          </w:p>
        </w:tc>
        <w:tc>
          <w:tcPr>
            <w:tcW w:w="7965" w:type="dxa"/>
            <w:tcBorders/>
            <w:vAlign w:val="center"/>
          </w:tcPr>
          <w:p>
            <w:pPr>
              <w:pStyle w:val="TableHeading"/>
              <w:suppressLineNumbers/>
              <w:shd w:fill="434C5E" w:val="clear"/>
              <w:bidi w:val="0"/>
              <w:spacing w:before="120" w:after="120"/>
              <w:jc w:val="left"/>
              <w:rPr/>
            </w:pPr>
            <w:r>
              <w:rPr/>
              <w:t>Meaning</w:t>
            </w:r>
          </w:p>
        </w:tc>
      </w:tr>
      <w:tr>
        <w:trPr/>
        <w:tc>
          <w:tcPr>
            <w:tcW w:w="6085"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96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6085" w:type="dxa"/>
            <w:tcBorders/>
            <w:vAlign w:val="center"/>
          </w:tcPr>
          <w:p>
            <w:pPr>
              <w:pStyle w:val="TableContents"/>
              <w:shd w:fill="2E3440" w:val="clear"/>
              <w:bidi w:val="0"/>
              <w:spacing w:before="120" w:after="120"/>
              <w:jc w:val="left"/>
              <w:rPr/>
            </w:pPr>
            <w:r>
              <w:rPr>
                <w:rStyle w:val="SourceText"/>
              </w:rPr>
              <w:t>not trustworthy (unknown-window)</w:t>
            </w:r>
          </w:p>
        </w:tc>
        <w:tc>
          <w:tcPr>
            <w:tcW w:w="7965" w:type="dxa"/>
            <w:tcBorders/>
            <w:vAlign w:val="center"/>
          </w:tcPr>
          <w:p>
            <w:pPr>
              <w:pStyle w:val="TableContents"/>
              <w:shd w:fill="2E3440" w:val="clear"/>
              <w:bidi w:val="0"/>
              <w:spacing w:before="120" w:after="120"/>
              <w:jc w:val="left"/>
              <w:rPr/>
            </w:pPr>
            <w:r>
              <w:rPr/>
              <w:t>the model's context window is unknown (there is no budget setting to fall back on)</w:t>
            </w:r>
          </w:p>
        </w:tc>
      </w:tr>
      <w:tr>
        <w:trPr/>
        <w:tc>
          <w:tcPr>
            <w:tcW w:w="6085"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965" w:type="dxa"/>
            <w:tcBorders/>
            <w:vAlign w:val="center"/>
          </w:tcPr>
          <w:p>
            <w:pPr>
              <w:pStyle w:val="TableContents"/>
              <w:shd w:fill="2E3440" w:val="clear"/>
              <w:bidi w:val="0"/>
              <w:spacing w:before="120" w:after="120"/>
              <w:jc w:val="left"/>
              <w:rPr/>
            </w:pPr>
            <w:r>
              <w:rPr/>
              <w:t>the last reading came from before a compaction</w:t>
            </w:r>
          </w:p>
        </w:tc>
      </w:tr>
      <w:tr>
        <w:trPr/>
        <w:tc>
          <w:tcPr>
            <w:tcW w:w="6085" w:type="dxa"/>
            <w:tcBorders/>
            <w:vAlign w:val="center"/>
          </w:tcPr>
          <w:p>
            <w:pPr>
              <w:pStyle w:val="TableContents"/>
              <w:shd w:fill="2E3440" w:val="clear"/>
              <w:bidi w:val="0"/>
              <w:spacing w:before="120" w:after="120"/>
              <w:jc w:val="left"/>
              <w:rPr/>
            </w:pPr>
            <w:r>
              <w:rPr>
                <w:rStyle w:val="SourceText"/>
              </w:rPr>
              <w:t>the wrap-up marker is empty or not JSON</w:t>
            </w:r>
          </w:p>
        </w:tc>
        <w:tc>
          <w:tcPr>
            <w:tcW w:w="796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6085" w:type="dxa"/>
            <w:tcBorders/>
            <w:vAlign w:val="center"/>
          </w:tcPr>
          <w:p>
            <w:pPr>
              <w:pStyle w:val="TableContents"/>
              <w:shd w:fill="2E3440" w:val="clear"/>
              <w:bidi w:val="0"/>
              <w:spacing w:before="120" w:after="120"/>
              <w:jc w:val="left"/>
              <w:rPr/>
            </w:pPr>
            <w:r>
              <w:rPr>
                <w:rStyle w:val="SourceText"/>
              </w:rPr>
              <w:t>predates this session's wrap-up request</w:t>
            </w:r>
          </w:p>
        </w:tc>
        <w:tc>
          <w:tcPr>
            <w:tcW w:w="796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6085" w:type="dxa"/>
            <w:tcBorders/>
            <w:vAlign w:val="center"/>
          </w:tcPr>
          <w:p>
            <w:pPr>
              <w:pStyle w:val="TableContents"/>
              <w:shd w:fill="2E3440" w:val="clear"/>
              <w:bidi w:val="0"/>
              <w:spacing w:before="120" w:after="120"/>
              <w:jc w:val="left"/>
              <w:rPr/>
            </w:pPr>
            <w:r>
              <w:rPr>
                <w:rStyle w:val="SourceText"/>
              </w:rPr>
              <w:t>automatic PreCompact skeleton</w:t>
            </w:r>
          </w:p>
        </w:tc>
        <w:tc>
          <w:tcPr>
            <w:tcW w:w="796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6085"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965"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96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96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6085"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96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96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96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6085"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96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6085"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96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6085"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96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6085" w:type="dxa"/>
            <w:tcBorders/>
            <w:vAlign w:val="center"/>
          </w:tcPr>
          <w:p>
            <w:pPr>
              <w:pStyle w:val="TableContents"/>
              <w:shd w:fill="2E3440" w:val="clear"/>
              <w:bidi w:val="0"/>
              <w:spacing w:before="120" w:after="120"/>
              <w:jc w:val="left"/>
              <w:rPr/>
            </w:pPr>
            <w:r>
              <w:rPr>
                <w:rStyle w:val="SourceText"/>
              </w:rPr>
              <w:t>tmux pane %N could not be confirmed</w:t>
            </w:r>
          </w:p>
        </w:tc>
        <w:tc>
          <w:tcPr>
            <w:tcW w:w="796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6085" w:type="dxa"/>
            <w:tcBorders/>
            <w:vAlign w:val="center"/>
          </w:tcPr>
          <w:p>
            <w:pPr>
              <w:pStyle w:val="TableContents"/>
              <w:shd w:fill="2E3440" w:val="clear"/>
              <w:bidi w:val="0"/>
              <w:spacing w:before="120" w:after="120"/>
              <w:jc w:val="left"/>
              <w:rPr/>
            </w:pPr>
            <w:r>
              <w:rPr>
                <w:rStyle w:val="SourceText"/>
              </w:rPr>
              <w:t>method wtype ... is refused</w:t>
            </w:r>
          </w:p>
        </w:tc>
        <w:tc>
          <w:tcPr>
            <w:tcW w:w="796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6085" w:type="dxa"/>
            <w:tcBorders/>
            <w:vAlign w:val="center"/>
          </w:tcPr>
          <w:p>
            <w:pPr>
              <w:pStyle w:val="TableContents"/>
              <w:shd w:fill="2E3440" w:val="clear"/>
              <w:bidi w:val="0"/>
              <w:spacing w:before="120" w:after="120"/>
              <w:jc w:val="left"/>
              <w:rPr/>
            </w:pPr>
            <w:r>
              <w:rPr>
                <w:rStyle w:val="SourceText"/>
              </w:rPr>
              <w:t>sent - method notify</w:t>
            </w:r>
          </w:p>
        </w:tc>
        <w:tc>
          <w:tcPr>
            <w:tcW w:w="796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docs/crew/config-rationale.md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