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and the </w:t>
      </w:r>
      <w:r>
        <w:rPr>
          <w:rStyle w:val="SourceText"/>
        </w:rPr>
        <w:t>crew_context</w:t>
      </w:r>
      <w:r>
        <w:rPr/>
        <w:t xml:space="preserve"> probe at </w:t>
      </w:r>
      <w:r>
        <w:rPr>
          <w:rStyle w:val="SourceText"/>
        </w:rPr>
        <w:t>handoff-read.sh:42</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