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731"/>
        <w:gridCol w:w="3417"/>
      </w:tblGrid>
      <w:tr>
        <w:trPr>
          <w:tblHeader w:val="true"/>
        </w:trPr>
        <w:tc>
          <w:tcPr>
            <w:tcW w:w="1731" w:type="dxa"/>
            <w:tcBorders/>
            <w:vAlign w:val="center"/>
          </w:tcPr>
          <w:p>
            <w:pPr>
              <w:pStyle w:val="TableHeading"/>
              <w:suppressLineNumbers/>
              <w:shd w:fill="434C5E" w:val="clear"/>
              <w:bidi w:val="0"/>
              <w:spacing w:before="120" w:after="120"/>
              <w:jc w:val="left"/>
              <w:rPr/>
            </w:pPr>
            <w:r>
              <w:rPr/>
              <w:t>When</w:t>
            </w:r>
          </w:p>
        </w:tc>
        <w:tc>
          <w:tcPr>
            <w:tcW w:w="3417" w:type="dxa"/>
            <w:tcBorders/>
            <w:vAlign w:val="center"/>
          </w:tcPr>
          <w:p>
            <w:pPr>
              <w:pStyle w:val="TableHeading"/>
              <w:suppressLineNumbers/>
              <w:shd w:fill="434C5E" w:val="clear"/>
              <w:bidi w:val="0"/>
              <w:spacing w:before="120" w:after="120"/>
              <w:jc w:val="left"/>
              <w:rPr/>
            </w:pPr>
            <w:r>
              <w:rPr/>
              <w:t>Do</w:t>
            </w:r>
          </w:p>
        </w:tc>
      </w:tr>
      <w:tr>
        <w:trPr/>
        <w:tc>
          <w:tcPr>
            <w:tcW w:w="1731" w:type="dxa"/>
            <w:tcBorders/>
            <w:vAlign w:val="center"/>
          </w:tcPr>
          <w:p>
            <w:pPr>
              <w:pStyle w:val="TableContents"/>
              <w:shd w:fill="2E3440" w:val="clear"/>
              <w:bidi w:val="0"/>
              <w:spacing w:before="120" w:after="120"/>
              <w:jc w:val="left"/>
              <w:rPr/>
            </w:pPr>
            <w:r>
              <w:rPr/>
              <w:t>Daily, automatically</w:t>
            </w:r>
          </w:p>
        </w:tc>
        <w:tc>
          <w:tcPr>
            <w:tcW w:w="341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31" w:type="dxa"/>
            <w:tcBorders/>
            <w:vAlign w:val="center"/>
          </w:tcPr>
          <w:p>
            <w:pPr>
              <w:pStyle w:val="TableContents"/>
              <w:shd w:fill="2E3440" w:val="clear"/>
              <w:bidi w:val="0"/>
              <w:spacing w:before="120" w:after="120"/>
              <w:jc w:val="left"/>
              <w:rPr/>
            </w:pPr>
            <w:r>
              <w:rPr/>
              <w:t>After a plugin update</w:t>
            </w:r>
          </w:p>
        </w:tc>
        <w:tc>
          <w:tcPr>
            <w:tcW w:w="341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31" w:type="dxa"/>
            <w:tcBorders/>
            <w:vAlign w:val="center"/>
          </w:tcPr>
          <w:p>
            <w:pPr>
              <w:pStyle w:val="TableContents"/>
              <w:shd w:fill="2E3440" w:val="clear"/>
              <w:bidi w:val="0"/>
              <w:spacing w:before="120" w:after="120"/>
              <w:jc w:val="left"/>
              <w:rPr/>
            </w:pPr>
            <w:r>
              <w:rPr/>
              <w:t>When a vault moves or you add one</w:t>
            </w:r>
          </w:p>
        </w:tc>
        <w:tc>
          <w:tcPr>
            <w:tcW w:w="341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31" w:type="dxa"/>
            <w:tcBorders/>
            <w:vAlign w:val="center"/>
          </w:tcPr>
          <w:p>
            <w:pPr>
              <w:pStyle w:val="TableContents"/>
              <w:shd w:fill="2E3440" w:val="clear"/>
              <w:bidi w:val="0"/>
              <w:spacing w:before="120" w:after="120"/>
              <w:jc w:val="left"/>
              <w:rPr/>
            </w:pPr>
            <w:r>
              <w:rPr/>
              <w:t>When recall seems blind</w:t>
            </w:r>
          </w:p>
        </w:tc>
        <w:tc>
          <w:tcPr>
            <w:tcW w:w="341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31" w:type="dxa"/>
            <w:tcBorders/>
            <w:vAlign w:val="center"/>
          </w:tcPr>
          <w:p>
            <w:pPr>
              <w:pStyle w:val="TableContents"/>
              <w:shd w:fill="2E3440" w:val="clear"/>
              <w:bidi w:val="0"/>
              <w:spacing w:before="120" w:after="120"/>
              <w:jc w:val="left"/>
              <w:rPr/>
            </w:pPr>
            <w:r>
              <w:rPr/>
              <w:t>When another project's notes outrank this repo's</w:t>
            </w:r>
          </w:p>
        </w:tc>
        <w:tc>
          <w:tcPr>
            <w:tcW w:w="3417"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list them in the repo's </w:t>
            </w:r>
            <w:r>
              <w:rPr>
                <w:rStyle w:val="SourceText"/>
              </w:rPr>
              <w:t>memory.recall.projects</w:t>
            </w:r>
            <w:r>
              <w:rPr/>
              <w:t>.</w:t>
            </w:r>
          </w:p>
        </w:tc>
      </w:tr>
      <w:tr>
        <w:trPr/>
        <w:tc>
          <w:tcPr>
            <w:tcW w:w="1731" w:type="dxa"/>
            <w:tcBorders/>
            <w:vAlign w:val="center"/>
          </w:tcPr>
          <w:p>
            <w:pPr>
              <w:pStyle w:val="TableContents"/>
              <w:shd w:fill="2E3440" w:val="clear"/>
              <w:bidi w:val="0"/>
              <w:spacing w:before="120" w:after="120"/>
              <w:jc w:val="left"/>
              <w:rPr/>
            </w:pPr>
            <w:r>
              <w:rPr/>
              <w:t>When the bridge misbehaves</w:t>
            </w:r>
          </w:p>
        </w:tc>
        <w:tc>
          <w:tcPr>
            <w:tcW w:w="341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31" w:type="dxa"/>
            <w:tcBorders/>
            <w:vAlign w:val="center"/>
          </w:tcPr>
          <w:p>
            <w:pPr>
              <w:pStyle w:val="TableContents"/>
              <w:shd w:fill="2E3440" w:val="clear"/>
              <w:bidi w:val="0"/>
              <w:spacing w:before="120" w:after="120"/>
              <w:jc w:val="left"/>
              <w:rPr/>
            </w:pPr>
            <w:r>
              <w:rPr/>
              <w:t>When the code changed a lot</w:t>
            </w:r>
          </w:p>
        </w:tc>
        <w:tc>
          <w:tcPr>
            <w:tcW w:w="341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156"/>
        <w:gridCol w:w="3992"/>
      </w:tblGrid>
      <w:tr>
        <w:trPr>
          <w:tblHeader w:val="true"/>
        </w:trPr>
        <w:tc>
          <w:tcPr>
            <w:tcW w:w="1156" w:type="dxa"/>
            <w:tcBorders/>
            <w:vAlign w:val="center"/>
          </w:tcPr>
          <w:p>
            <w:pPr>
              <w:pStyle w:val="TableHeading"/>
              <w:suppressLineNumbers/>
              <w:shd w:fill="434C5E" w:val="clear"/>
              <w:bidi w:val="0"/>
              <w:spacing w:before="120" w:after="120"/>
              <w:jc w:val="left"/>
              <w:rPr/>
            </w:pPr>
            <w:r>
              <w:rPr/>
              <w:t>action</w:t>
            </w:r>
          </w:p>
        </w:tc>
        <w:tc>
          <w:tcPr>
            <w:tcW w:w="3992" w:type="dxa"/>
            <w:tcBorders/>
            <w:vAlign w:val="center"/>
          </w:tcPr>
          <w:p>
            <w:pPr>
              <w:pStyle w:val="TableHeading"/>
              <w:suppressLineNumbers/>
              <w:shd w:fill="434C5E" w:val="clear"/>
              <w:bidi w:val="0"/>
              <w:spacing w:before="120" w:after="120"/>
              <w:jc w:val="left"/>
              <w:rPr/>
            </w:pPr>
            <w:r>
              <w:rPr/>
              <w:t>meaning</w:t>
            </w:r>
          </w:p>
        </w:tc>
      </w:tr>
      <w:tr>
        <w:trPr/>
        <w:tc>
          <w:tcPr>
            <w:tcW w:w="1156" w:type="dxa"/>
            <w:tcBorders/>
            <w:vAlign w:val="center"/>
          </w:tcPr>
          <w:p>
            <w:pPr>
              <w:pStyle w:val="TableContents"/>
              <w:shd w:fill="2E3440" w:val="clear"/>
              <w:bidi w:val="0"/>
              <w:spacing w:before="120" w:after="120"/>
              <w:jc w:val="left"/>
              <w:rPr/>
            </w:pPr>
            <w:r>
              <w:rPr>
                <w:rStyle w:val="SourceText"/>
              </w:rPr>
              <w:t>convert</w:t>
            </w:r>
          </w:p>
        </w:tc>
        <w:tc>
          <w:tcPr>
            <w:tcW w:w="399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156" w:type="dxa"/>
            <w:tcBorders/>
            <w:vAlign w:val="center"/>
          </w:tcPr>
          <w:p>
            <w:pPr>
              <w:pStyle w:val="TableContents"/>
              <w:shd w:fill="2E3440" w:val="clear"/>
              <w:bidi w:val="0"/>
              <w:spacing w:before="120" w:after="120"/>
              <w:jc w:val="left"/>
              <w:rPr/>
            </w:pPr>
            <w:r>
              <w:rPr>
                <w:rStyle w:val="SourceText"/>
              </w:rPr>
              <w:t>append</w:t>
            </w:r>
          </w:p>
        </w:tc>
        <w:tc>
          <w:tcPr>
            <w:tcW w:w="399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156" w:type="dxa"/>
            <w:tcBorders/>
            <w:vAlign w:val="center"/>
          </w:tcPr>
          <w:p>
            <w:pPr>
              <w:pStyle w:val="TableContents"/>
              <w:shd w:fill="2E3440" w:val="clear"/>
              <w:bidi w:val="0"/>
              <w:spacing w:before="120" w:after="120"/>
              <w:jc w:val="left"/>
              <w:rPr/>
            </w:pPr>
            <w:r>
              <w:rPr>
                <w:rStyle w:val="SourceText"/>
              </w:rPr>
              <w:t>skip: already a pointer</w:t>
            </w:r>
          </w:p>
        </w:tc>
        <w:tc>
          <w:tcPr>
            <w:tcW w:w="3992" w:type="dxa"/>
            <w:tcBorders/>
            <w:vAlign w:val="center"/>
          </w:tcPr>
          <w:p>
            <w:pPr>
              <w:pStyle w:val="TableContents"/>
              <w:shd w:fill="2E3440" w:val="clear"/>
              <w:bidi w:val="0"/>
              <w:spacing w:before="120" w:after="120"/>
              <w:jc w:val="left"/>
              <w:rPr/>
            </w:pPr>
            <w:r>
              <w:rPr/>
              <w:t>nothing to do</w:t>
            </w:r>
          </w:p>
        </w:tc>
      </w:tr>
      <w:tr>
        <w:trPr/>
        <w:tc>
          <w:tcPr>
            <w:tcW w:w="1156" w:type="dxa"/>
            <w:tcBorders/>
            <w:vAlign w:val="center"/>
          </w:tcPr>
          <w:p>
            <w:pPr>
              <w:pStyle w:val="TableContents"/>
              <w:shd w:fill="2E3440" w:val="clear"/>
              <w:bidi w:val="0"/>
              <w:spacing w:before="120" w:after="120"/>
              <w:jc w:val="left"/>
              <w:rPr/>
            </w:pPr>
            <w:r>
              <w:rPr>
                <w:rStyle w:val="SourceText"/>
              </w:rPr>
              <w:t>skip: &lt;state&gt;</w:t>
            </w:r>
          </w:p>
        </w:tc>
        <w:tc>
          <w:tcPr>
            <w:tcW w:w="399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156" w:type="dxa"/>
            <w:tcBorders/>
            <w:vAlign w:val="center"/>
          </w:tcPr>
          <w:p>
            <w:pPr>
              <w:pStyle w:val="TableContents"/>
              <w:shd w:fill="2E3440" w:val="clear"/>
              <w:bidi w:val="0"/>
              <w:spacing w:before="120" w:after="120"/>
              <w:jc w:val="left"/>
              <w:rPr/>
            </w:pPr>
            <w:r>
              <w:rPr>
                <w:rStyle w:val="SourceText"/>
              </w:rPr>
              <w:t>refuse: &lt;reason&gt;</w:t>
            </w:r>
          </w:p>
        </w:tc>
        <w:tc>
          <w:tcPr>
            <w:tcW w:w="399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w:t>
      </w:r>
      <w:r>
        <w:rPr>
          <w:rStyle w:val="SourceText"/>
        </w:rPr>
        <w:t>memory.recall.projects</w:t>
      </w:r>
      <w:r>
        <w:rPr/>
        <w:t xml:space="preserve"> (a list of names, repo-only) when set, otherwise the main checkout's directory name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Set </w:t>
      </w:r>
      <w:r>
        <w:rPr>
          <w:rStyle w:val="SourceText"/>
        </w:rPr>
        <w:t>memory.recall.projects</w:t>
      </w:r>
      <w:r>
        <w:rPr/>
        <w:t xml:space="preserve"> when the vault's </w:t>
      </w:r>
      <w:r>
        <w:rPr>
          <w:rStyle w:val="SourceText"/>
        </w:rPr>
        <w:t>project:</w:t>
      </w:r>
      <w:r>
        <w:rPr/>
        <w:t xml:space="preserve"> values do not match the checkout's folder name.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