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so it names the same paths early, a </w:t>
      </w:r>
      <w:r>
        <w:rPr>
          <w:rStyle w:val="SourceText"/>
        </w:rPr>
        <w:t>sed -i</w:t>
      </w:r>
      <w:r>
        <w:rPr/>
        <w:t xml:space="preserve"> write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a Touch not yet approved, or a ticket still in the pre-1.0 layout.</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