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wave-refuses-a-cross-session-dependency"/>
      <w:bookmarkEnd w:id="7"/>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1825" w:type="dxa"/>
        <w:jc w:val="left"/>
        <w:tblInd w:w="0" w:type="dxa"/>
        <w:tblLayout w:type="fixed"/>
        <w:tblCellMar>
          <w:top w:w="28" w:type="dxa"/>
          <w:left w:w="28" w:type="dxa"/>
          <w:bottom w:w="28" w:type="dxa"/>
          <w:right w:w="28" w:type="dxa"/>
        </w:tblCellMar>
      </w:tblPr>
      <w:tblGrid>
        <w:gridCol w:w="4466"/>
        <w:gridCol w:w="3701"/>
        <w:gridCol w:w="3658"/>
      </w:tblGrid>
      <w:tr>
        <w:trPr>
          <w:tblHeader w:val="true"/>
        </w:trPr>
        <w:tc>
          <w:tcPr>
            <w:tcW w:w="4466"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701" w:type="dxa"/>
            <w:tcBorders/>
            <w:vAlign w:val="center"/>
          </w:tcPr>
          <w:p>
            <w:pPr>
              <w:pStyle w:val="TableHeading"/>
              <w:suppressLineNumbers/>
              <w:shd w:fill="434C5E" w:val="clear"/>
              <w:bidi w:val="0"/>
              <w:spacing w:before="120" w:after="120"/>
              <w:jc w:val="left"/>
              <w:rPr/>
            </w:pPr>
            <w:r>
              <w:rPr/>
              <w:t>Means</w:t>
            </w:r>
          </w:p>
        </w:tc>
        <w:tc>
          <w:tcPr>
            <w:tcW w:w="3658" w:type="dxa"/>
            <w:tcBorders/>
            <w:vAlign w:val="center"/>
          </w:tcPr>
          <w:p>
            <w:pPr>
              <w:pStyle w:val="TableHeading"/>
              <w:suppressLineNumbers/>
              <w:shd w:fill="434C5E" w:val="clear"/>
              <w:bidi w:val="0"/>
              <w:spacing w:before="120" w:after="120"/>
              <w:jc w:val="left"/>
              <w:rPr/>
            </w:pPr>
            <w:r>
              <w:rPr/>
              <w:t>Do</w:t>
            </w:r>
          </w:p>
        </w:tc>
      </w:tr>
      <w:tr>
        <w:trPr/>
        <w:tc>
          <w:tcPr>
            <w:tcW w:w="4466"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701"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658"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466" w:type="dxa"/>
            <w:tcBorders/>
            <w:vAlign w:val="center"/>
          </w:tcPr>
          <w:p>
            <w:pPr>
              <w:pStyle w:val="TableContents"/>
              <w:shd w:fill="2E3440" w:val="clear"/>
              <w:bidi w:val="0"/>
              <w:spacing w:before="120" w:after="120"/>
              <w:jc w:val="left"/>
              <w:rPr/>
            </w:pPr>
            <w:r>
              <w:rPr>
                <w:rStyle w:val="SourceText"/>
              </w:rPr>
              <w:t>... reads released (...); only done closes it</w:t>
            </w:r>
          </w:p>
        </w:tc>
        <w:tc>
          <w:tcPr>
            <w:tcW w:w="3701" w:type="dxa"/>
            <w:tcBorders/>
            <w:vAlign w:val="center"/>
          </w:tcPr>
          <w:p>
            <w:pPr>
              <w:pStyle w:val="TableContents"/>
              <w:shd w:fill="2E3440" w:val="clear"/>
              <w:bidi w:val="0"/>
              <w:spacing w:before="120" w:after="120"/>
              <w:jc w:val="left"/>
              <w:rPr/>
            </w:pPr>
            <w:r>
              <w:rPr/>
              <w:t>the peer gave the ticket back unfinished</w:t>
            </w:r>
          </w:p>
        </w:tc>
        <w:tc>
          <w:tcPr>
            <w:tcW w:w="3658"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466"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701" w:type="dxa"/>
            <w:tcBorders/>
            <w:vAlign w:val="center"/>
          </w:tcPr>
          <w:p>
            <w:pPr>
              <w:pStyle w:val="TableContents"/>
              <w:shd w:fill="2E3440" w:val="clear"/>
              <w:bidi w:val="0"/>
              <w:spacing w:before="120" w:after="120"/>
              <w:jc w:val="left"/>
              <w:rPr/>
            </w:pPr>
            <w:r>
              <w:rPr/>
              <w:t>nobody on the channel has claimed that id</w:t>
            </w:r>
          </w:p>
        </w:tc>
        <w:tc>
          <w:tcPr>
            <w:tcW w:w="3658"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466"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701" w:type="dxa"/>
            <w:tcBorders/>
            <w:vAlign w:val="center"/>
          </w:tcPr>
          <w:p>
            <w:pPr>
              <w:pStyle w:val="TableContents"/>
              <w:shd w:fill="2E3440" w:val="clear"/>
              <w:bidi w:val="0"/>
              <w:spacing w:before="120" w:after="120"/>
              <w:jc w:val="left"/>
              <w:rPr/>
            </w:pPr>
            <w:r>
              <w:rPr/>
              <w:t>the short form is ambiguous</w:t>
            </w:r>
          </w:p>
        </w:tc>
        <w:tc>
          <w:tcPr>
            <w:tcW w:w="3658"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466" w:type="dxa"/>
            <w:tcBorders/>
            <w:vAlign w:val="center"/>
          </w:tcPr>
          <w:p>
            <w:pPr>
              <w:pStyle w:val="TableContents"/>
              <w:shd w:fill="2E3440" w:val="clear"/>
              <w:bidi w:val="0"/>
              <w:spacing w:before="120" w:after="120"/>
              <w:jc w:val="left"/>
              <w:rPr/>
            </w:pPr>
            <w:r>
              <w:rPr>
                <w:rStyle w:val="SourceText"/>
              </w:rPr>
              <w:t>... unknown: its claim ... is corrupt (...)</w:t>
            </w:r>
          </w:p>
        </w:tc>
        <w:tc>
          <w:tcPr>
            <w:tcW w:w="3701" w:type="dxa"/>
            <w:tcBorders/>
            <w:vAlign w:val="center"/>
          </w:tcPr>
          <w:p>
            <w:pPr>
              <w:pStyle w:val="TableContents"/>
              <w:shd w:fill="2E3440" w:val="clear"/>
              <w:bidi w:val="0"/>
              <w:spacing w:before="120" w:after="120"/>
              <w:jc w:val="left"/>
              <w:rPr/>
            </w:pPr>
            <w:r>
              <w:rPr/>
              <w:t>the claim file does not parse</w:t>
            </w:r>
          </w:p>
        </w:tc>
        <w:tc>
          <w:tcPr>
            <w:tcW w:w="3658"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466"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701" w:type="dxa"/>
            <w:tcBorders/>
            <w:vAlign w:val="center"/>
          </w:tcPr>
          <w:p>
            <w:pPr>
              <w:pStyle w:val="TableContents"/>
              <w:shd w:fill="2E3440" w:val="clear"/>
              <w:bidi w:val="0"/>
              <w:spacing w:before="120" w:after="120"/>
              <w:jc w:val="left"/>
              <w:rPr/>
            </w:pPr>
            <w:r>
              <w:rPr/>
              <w:t>the channel is absent, or the remote cannot be reached</w:t>
            </w:r>
          </w:p>
        </w:tc>
        <w:tc>
          <w:tcPr>
            <w:tcW w:w="3658"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466"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701"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658"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466" w:type="dxa"/>
            <w:tcBorders/>
            <w:vAlign w:val="center"/>
          </w:tcPr>
          <w:p>
            <w:pPr>
              <w:pStyle w:val="TableContents"/>
              <w:shd w:fill="2E3440" w:val="clear"/>
              <w:bidi w:val="0"/>
              <w:spacing w:before="120" w:after="120"/>
              <w:jc w:val="left"/>
              <w:rPr/>
            </w:pPr>
            <w:r>
              <w:rPr>
                <w:rStyle w:val="SourceText"/>
              </w:rPr>
              <w:t>dependencies unknown: ...</w:t>
            </w:r>
          </w:p>
        </w:tc>
        <w:tc>
          <w:tcPr>
            <w:tcW w:w="3701"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658"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8" w:name="wave-refuses-a-tickets-contract"/>
      <w:bookmarkEnd w:id="8"/>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The wave checks each binding after the ticket's dependencies; run the same check alone with </w:t>
      </w:r>
      <w:r>
        <w:rPr>
          <w:rStyle w:val="SourceText"/>
        </w:rPr>
        <w:t>crew_contract.py verify --ticket &lt;id&gt;</w:t>
      </w:r>
      <w:r>
        <w:rPr/>
        <w:t xml:space="preserve"> (exit 0 current, 1 changed, 3 cannot tell).</w:t>
      </w:r>
    </w:p>
    <w:tbl>
      <w:tblPr>
        <w:tblW w:w="11825" w:type="dxa"/>
        <w:jc w:val="left"/>
        <w:tblInd w:w="0" w:type="dxa"/>
        <w:tblLayout w:type="fixed"/>
        <w:tblCellMar>
          <w:top w:w="28" w:type="dxa"/>
          <w:left w:w="28" w:type="dxa"/>
          <w:bottom w:w="28" w:type="dxa"/>
          <w:right w:w="28" w:type="dxa"/>
        </w:tblCellMar>
      </w:tblPr>
      <w:tblGrid>
        <w:gridCol w:w="2361"/>
        <w:gridCol w:w="4900"/>
        <w:gridCol w:w="4564"/>
      </w:tblGrid>
      <w:tr>
        <w:trPr>
          <w:tblHeader w:val="true"/>
        </w:trPr>
        <w:tc>
          <w:tcPr>
            <w:tcW w:w="236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900" w:type="dxa"/>
            <w:tcBorders/>
            <w:vAlign w:val="center"/>
          </w:tcPr>
          <w:p>
            <w:pPr>
              <w:pStyle w:val="TableHeading"/>
              <w:suppressLineNumbers/>
              <w:shd w:fill="434C5E" w:val="clear"/>
              <w:bidi w:val="0"/>
              <w:spacing w:before="120" w:after="120"/>
              <w:jc w:val="left"/>
              <w:rPr/>
            </w:pPr>
            <w:r>
              <w:rPr/>
              <w:t>Means</w:t>
            </w:r>
          </w:p>
        </w:tc>
        <w:tc>
          <w:tcPr>
            <w:tcW w:w="4564" w:type="dxa"/>
            <w:tcBorders/>
            <w:vAlign w:val="center"/>
          </w:tcPr>
          <w:p>
            <w:pPr>
              <w:pStyle w:val="TableHeading"/>
              <w:suppressLineNumbers/>
              <w:shd w:fill="434C5E" w:val="clear"/>
              <w:bidi w:val="0"/>
              <w:spacing w:before="120" w:after="120"/>
              <w:jc w:val="left"/>
              <w:rPr/>
            </w:pPr>
            <w:r>
              <w:rPr/>
              <w:t>Do</w:t>
            </w:r>
          </w:p>
        </w:tc>
      </w:tr>
      <w:tr>
        <w:trPr/>
        <w:tc>
          <w:tcPr>
            <w:tcW w:w="236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90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4564"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361" w:type="dxa"/>
            <w:tcBorders/>
            <w:vAlign w:val="center"/>
          </w:tcPr>
          <w:p>
            <w:pPr>
              <w:pStyle w:val="TableContents"/>
              <w:shd w:fill="2E3440" w:val="clear"/>
              <w:bidi w:val="0"/>
              <w:spacing w:before="120" w:after="120"/>
              <w:jc w:val="left"/>
              <w:rPr/>
            </w:pPr>
            <w:r>
              <w:rPr>
                <w:rStyle w:val="SourceText"/>
              </w:rPr>
              <w:t>contract &lt;n&gt; v&lt;N&gt; unknown (...)</w:t>
            </w:r>
          </w:p>
        </w:tc>
        <w:tc>
          <w:tcPr>
            <w:tcW w:w="4900" w:type="dxa"/>
            <w:tcBorders/>
            <w:vAlign w:val="center"/>
          </w:tcPr>
          <w:p>
            <w:pPr>
              <w:pStyle w:val="TableContents"/>
              <w:shd w:fill="2E3440" w:val="clear"/>
              <w:bidi w:val="0"/>
              <w:spacing w:before="120" w:after="120"/>
              <w:jc w:val="left"/>
              <w:rPr/>
            </w:pPr>
            <w:r>
              <w:rPr/>
              <w:t>the fetch failed, the channel or the version's files are missing, or the record is corrupt</w:t>
            </w:r>
          </w:p>
        </w:tc>
        <w:tc>
          <w:tcPr>
            <w:tcW w:w="4564"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361" w:type="dxa"/>
            <w:tcBorders/>
            <w:vAlign w:val="center"/>
          </w:tcPr>
          <w:p>
            <w:pPr>
              <w:pStyle w:val="TableContents"/>
              <w:shd w:fill="2E3440" w:val="clear"/>
              <w:bidi w:val="0"/>
              <w:spacing w:before="120" w:after="120"/>
              <w:jc w:val="left"/>
              <w:rPr/>
            </w:pPr>
            <w:r>
              <w:rPr>
                <w:rStyle w:val="SourceText"/>
              </w:rPr>
              <w:t>contract bindings unknown (...)</w:t>
            </w:r>
          </w:p>
        </w:tc>
        <w:tc>
          <w:tcPr>
            <w:tcW w:w="4900" w:type="dxa"/>
            <w:tcBorders/>
            <w:vAlign w:val="center"/>
          </w:tcPr>
          <w:p>
            <w:pPr>
              <w:pStyle w:val="TableContents"/>
              <w:shd w:fill="2E3440" w:val="clear"/>
              <w:bidi w:val="0"/>
              <w:spacing w:before="120" w:after="120"/>
              <w:jc w:val="left"/>
              <w:rPr/>
            </w:pPr>
            <w:r>
              <w:rPr>
                <w:rStyle w:val="SourceText"/>
              </w:rPr>
              <w:t>contracts.json</w:t>
            </w:r>
            <w:r>
              <w:rPr/>
              <w:t xml:space="preserve"> does not parse</w:t>
            </w:r>
          </w:p>
        </w:tc>
        <w:tc>
          <w:tcPr>
            <w:tcW w:w="4564" w:type="dxa"/>
            <w:tcBorders/>
            <w:vAlign w:val="center"/>
          </w:tcPr>
          <w:p>
            <w:pPr>
              <w:pStyle w:val="TableContents"/>
              <w:shd w:fill="2E3440" w:val="clear"/>
              <w:bidi w:val="0"/>
              <w:spacing w:before="120" w:after="120"/>
              <w:jc w:val="left"/>
              <w:rPr/>
            </w:pPr>
            <w:r>
              <w:rPr/>
              <w:t xml:space="preserve">repair or remove it by hand, then </w:t>
            </w:r>
            <w:r>
              <w:rPr>
                <w:rStyle w:val="SourceText"/>
              </w:rPr>
              <w:t>build-against</w:t>
            </w:r>
            <w:r>
              <w:rPr/>
              <w:t xml:space="preserve"> again;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9" w:name="promote-gate-blocks-a-worktree-deploy"/>
      <w:bookmarkEnd w:id="9"/>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0" w:name="cloud-guard-false-positives"/>
      <w:bookmarkEnd w:id="10"/>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graph-refresh-refused-secrets-denylisted"/>
      <w:bookmarkEnd w:id="1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6" w:name="turning-things-off"/>
      <w:bookmarkEnd w:id="1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7" w:name="web-testing"/>
      <w:bookmarkEnd w:id="1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8" w:name="windows-notes"/>
      <w:bookmarkEnd w:id="18"/>
      <w:r>
        <w:rPr/>
        <w:t>Windows Notes</w:t>
      </w:r>
    </w:p>
    <w:p>
      <w:pPr>
        <w:pStyle w:val="BodyText"/>
        <w:numPr>
          <w:ilvl w:val="0"/>
          <w:numId w:val="2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9" w:name="auto-wrap-up-auto-clear-and-auto-resume"/>
      <w:bookmarkEnd w:id="1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0" w:name="what-the-cycle-does"/>
      <w:bookmarkEnd w:id="20"/>
      <w:r>
        <w:rPr/>
        <w:t>What the Cycle Does</w:t>
      </w:r>
    </w:p>
    <w:p>
      <w:pPr>
        <w:pStyle w:val="BodyText"/>
        <w:numPr>
          <w:ilvl w:val="0"/>
          <w:numId w:val="2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1" w:name="turning-it-on-and-off"/>
      <w:bookmarkEnd w:id="2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2" w:name="armed-wrap-up-contextautoclearwrapup"/>
      <w:bookmarkEnd w:id="2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3" w:name="arming-one-scratch-repo-while-other-sess"/>
      <w:bookmarkEnd w:id="2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4" w:name="which-method-and-what-it-does"/>
      <w:bookmarkEnd w:id="24"/>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5" w:name="when-it-will-not-clear-or-notify"/>
      <w:bookmarkEnd w:id="2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6" w:name="which-window-gets-the-keystroke"/>
      <w:bookmarkEnd w:id="2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