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11339" w:type="dxa"/>
        <w:jc w:val="left"/>
        <w:tblInd w:w="28" w:type="dxa"/>
        <w:tblLayout w:type="fixed"/>
        <w:tblCellMar>
          <w:top w:w="28" w:type="dxa"/>
          <w:left w:w="28" w:type="dxa"/>
          <w:bottom w:w="28" w:type="dxa"/>
          <w:right w:w="28" w:type="dxa"/>
        </w:tblCellMar>
      </w:tblPr>
      <w:tblGrid>
        <w:gridCol w:w="2696"/>
        <w:gridCol w:w="8643"/>
      </w:tblGrid>
      <w:tr>
        <w:trPr>
          <w:tblHeader w:val="true"/>
        </w:trPr>
        <w:tc>
          <w:tcPr>
            <w:tcW w:w="2696" w:type="dxa"/>
            <w:tcBorders/>
            <w:vAlign w:val="center"/>
          </w:tcPr>
          <w:p>
            <w:pPr>
              <w:pStyle w:val="TableHeading"/>
              <w:suppressLineNumbers/>
              <w:shd w:fill="434C5E" w:val="clear"/>
              <w:bidi w:val="0"/>
              <w:spacing w:before="120" w:after="120"/>
              <w:jc w:val="left"/>
              <w:rPr/>
            </w:pPr>
            <w:r>
              <w:rPr/>
              <w:t>When</w:t>
            </w:r>
          </w:p>
        </w:tc>
        <w:tc>
          <w:tcPr>
            <w:tcW w:w="8643" w:type="dxa"/>
            <w:tcBorders/>
            <w:vAlign w:val="center"/>
          </w:tcPr>
          <w:p>
            <w:pPr>
              <w:pStyle w:val="TableHeading"/>
              <w:suppressLineNumbers/>
              <w:shd w:fill="434C5E" w:val="clear"/>
              <w:bidi w:val="0"/>
              <w:spacing w:before="120" w:after="120"/>
              <w:jc w:val="left"/>
              <w:rPr/>
            </w:pPr>
            <w:r>
              <w:rPr/>
              <w:t>Do</w:t>
            </w:r>
          </w:p>
        </w:tc>
      </w:tr>
      <w:tr>
        <w:trPr/>
        <w:tc>
          <w:tcPr>
            <w:tcW w:w="2696" w:type="dxa"/>
            <w:tcBorders/>
            <w:vAlign w:val="center"/>
          </w:tcPr>
          <w:p>
            <w:pPr>
              <w:pStyle w:val="TableContents"/>
              <w:shd w:fill="2E3440" w:val="clear"/>
              <w:bidi w:val="0"/>
              <w:spacing w:before="120" w:after="120"/>
              <w:jc w:val="left"/>
              <w:rPr/>
            </w:pPr>
            <w:r>
              <w:rPr/>
              <w:t>Daily, automatically</w:t>
            </w:r>
          </w:p>
        </w:tc>
        <w:tc>
          <w:tcPr>
            <w:tcW w:w="8643"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2696" w:type="dxa"/>
            <w:tcBorders/>
            <w:vAlign w:val="center"/>
          </w:tcPr>
          <w:p>
            <w:pPr>
              <w:pStyle w:val="TableContents"/>
              <w:shd w:fill="2E3440" w:val="clear"/>
              <w:bidi w:val="0"/>
              <w:spacing w:before="120" w:after="120"/>
              <w:jc w:val="left"/>
              <w:rPr/>
            </w:pPr>
            <w:r>
              <w:rPr/>
              <w:t>After a plugin update</w:t>
            </w:r>
          </w:p>
        </w:tc>
        <w:tc>
          <w:tcPr>
            <w:tcW w:w="8643"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2696" w:type="dxa"/>
            <w:tcBorders/>
            <w:vAlign w:val="center"/>
          </w:tcPr>
          <w:p>
            <w:pPr>
              <w:pStyle w:val="TableContents"/>
              <w:shd w:fill="2E3440" w:val="clear"/>
              <w:bidi w:val="0"/>
              <w:spacing w:before="120" w:after="120"/>
              <w:jc w:val="left"/>
              <w:rPr/>
            </w:pPr>
            <w:r>
              <w:rPr/>
              <w:t>When a vault moves or you add one</w:t>
            </w:r>
          </w:p>
        </w:tc>
        <w:tc>
          <w:tcPr>
            <w:tcW w:w="8643"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2696" w:type="dxa"/>
            <w:tcBorders/>
            <w:vAlign w:val="center"/>
          </w:tcPr>
          <w:p>
            <w:pPr>
              <w:pStyle w:val="TableContents"/>
              <w:shd w:fill="2E3440" w:val="clear"/>
              <w:bidi w:val="0"/>
              <w:spacing w:before="120" w:after="120"/>
              <w:jc w:val="left"/>
              <w:rPr/>
            </w:pPr>
            <w:r>
              <w:rPr/>
              <w:t>When recall seems blind</w:t>
            </w:r>
          </w:p>
        </w:tc>
        <w:tc>
          <w:tcPr>
            <w:tcW w:w="8643"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2696" w:type="dxa"/>
            <w:tcBorders/>
            <w:vAlign w:val="center"/>
          </w:tcPr>
          <w:p>
            <w:pPr>
              <w:pStyle w:val="TableContents"/>
              <w:shd w:fill="2E3440" w:val="clear"/>
              <w:bidi w:val="0"/>
              <w:spacing w:before="120" w:after="120"/>
              <w:jc w:val="left"/>
              <w:rPr/>
            </w:pPr>
            <w:r>
              <w:rPr/>
              <w:t>When the bridge misbehaves</w:t>
            </w:r>
          </w:p>
        </w:tc>
        <w:tc>
          <w:tcPr>
            <w:tcW w:w="8643"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2696" w:type="dxa"/>
            <w:tcBorders/>
            <w:vAlign w:val="center"/>
          </w:tcPr>
          <w:p>
            <w:pPr>
              <w:pStyle w:val="TableContents"/>
              <w:shd w:fill="2E3440" w:val="clear"/>
              <w:bidi w:val="0"/>
              <w:spacing w:before="120" w:after="120"/>
              <w:jc w:val="left"/>
              <w:rPr/>
            </w:pPr>
            <w:r>
              <w:rPr/>
              <w:t>When the code changed a lot</w:t>
            </w:r>
          </w:p>
        </w:tc>
        <w:tc>
          <w:tcPr>
            <w:tcW w:w="8643"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confirming-recall-reaches-your-sessions"/>
      <w:bookmarkEnd w:id="10"/>
      <w:r>
        <w:rPr/>
        <w:t>Confirming Recall Reaches Your Sessions</w:t>
      </w:r>
    </w:p>
    <w:p>
      <w:pPr>
        <w:pStyle w:val="BodyText"/>
        <w:bidi w:val="0"/>
        <w:jc w:val="left"/>
        <w:rPr/>
      </w:pPr>
      <w:r>
        <w:rPr/>
        <w:t>(written by the context-hook ticket)</w:t>
      </w:r>
    </w:p>
    <w:p>
      <w:pPr>
        <w:pStyle w:val="Heading2"/>
        <w:bidi w:val="0"/>
        <w:ind w:hanging="0" w:left="0" w:right="0"/>
        <w:jc w:val="left"/>
        <w:rPr/>
      </w:pPr>
      <w:bookmarkStart w:id="11" w:name="confirming-recall-reaches-your-sessions_"/>
      <w:bookmarkEnd w:id="11"/>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Heading3"/>
        <w:bidi w:val="0"/>
        <w:ind w:hanging="0" w:left="0" w:right="0"/>
        <w:jc w:val="left"/>
        <w:rPr/>
      </w:pPr>
      <w:bookmarkStart w:id="12" w:name="which-channel-reaches-which-agent"/>
      <w:bookmarkEnd w:id="12"/>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7556" w:type="dxa"/>
        <w:jc w:val="left"/>
        <w:tblInd w:w="28" w:type="dxa"/>
        <w:tblLayout w:type="fixed"/>
        <w:tblCellMar>
          <w:top w:w="28" w:type="dxa"/>
          <w:left w:w="28" w:type="dxa"/>
          <w:bottom w:w="28" w:type="dxa"/>
          <w:right w:w="28" w:type="dxa"/>
        </w:tblCellMar>
      </w:tblPr>
      <w:tblGrid>
        <w:gridCol w:w="2119"/>
        <w:gridCol w:w="2932"/>
        <w:gridCol w:w="2505"/>
      </w:tblGrid>
      <w:tr>
        <w:trPr>
          <w:tblHeader w:val="true"/>
        </w:trPr>
        <w:tc>
          <w:tcPr>
            <w:tcW w:w="2119" w:type="dxa"/>
            <w:tcBorders/>
            <w:vAlign w:val="center"/>
          </w:tcPr>
          <w:p>
            <w:pPr>
              <w:pStyle w:val="TableHeading"/>
              <w:suppressLineNumbers/>
              <w:shd w:fill="434C5E" w:val="clear"/>
              <w:bidi w:val="0"/>
              <w:spacing w:before="120" w:after="120"/>
              <w:jc w:val="left"/>
              <w:rPr/>
            </w:pPr>
            <w:r>
              <w:rPr/>
              <w:t>Hook event</w:t>
            </w:r>
          </w:p>
        </w:tc>
        <w:tc>
          <w:tcPr>
            <w:tcW w:w="2932" w:type="dxa"/>
            <w:tcBorders/>
            <w:vAlign w:val="center"/>
          </w:tcPr>
          <w:p>
            <w:pPr>
              <w:pStyle w:val="TableHeading"/>
              <w:suppressLineNumbers/>
              <w:shd w:fill="434C5E" w:val="clear"/>
              <w:bidi w:val="0"/>
              <w:spacing w:before="120" w:after="120"/>
              <w:jc w:val="left"/>
              <w:rPr/>
            </w:pPr>
            <w:r>
              <w:rPr/>
              <w:t>Reaches the main agent</w:t>
            </w:r>
          </w:p>
        </w:tc>
        <w:tc>
          <w:tcPr>
            <w:tcW w:w="2505" w:type="dxa"/>
            <w:tcBorders/>
            <w:vAlign w:val="center"/>
          </w:tcPr>
          <w:p>
            <w:pPr>
              <w:pStyle w:val="TableHeading"/>
              <w:suppressLineNumbers/>
              <w:shd w:fill="434C5E" w:val="clear"/>
              <w:bidi w:val="0"/>
              <w:spacing w:before="120" w:after="120"/>
              <w:jc w:val="left"/>
              <w:rPr/>
            </w:pPr>
            <w:r>
              <w:rPr/>
              <w:t>Reaches a subagent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SubagentStart</w:t>
            </w:r>
          </w:p>
        </w:tc>
        <w:tc>
          <w:tcPr>
            <w:tcW w:w="2932" w:type="dxa"/>
            <w:tcBorders/>
            <w:vAlign w:val="center"/>
          </w:tcPr>
          <w:p>
            <w:pPr>
              <w:pStyle w:val="TableContents"/>
              <w:shd w:fill="2E3440" w:val="clear"/>
              <w:bidi w:val="0"/>
              <w:spacing w:before="120" w:after="120"/>
              <w:jc w:val="left"/>
              <w:rPr/>
            </w:pPr>
            <w:r>
              <w:rPr/>
              <w:t>n/a</w:t>
            </w:r>
          </w:p>
        </w:tc>
        <w:tc>
          <w:tcPr>
            <w:tcW w:w="2505"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3" w:name="where-recall-comes-from"/>
      <w:bookmarkEnd w:id="13"/>
      <w:r>
        <w:rPr/>
        <w:t>Where Recall Comes From</w:t>
      </w:r>
    </w:p>
    <w:p>
      <w:pPr>
        <w:pStyle w:val="BodyText"/>
        <w:numPr>
          <w:ilvl w:val="0"/>
          <w:numId w:val="3"/>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3"/>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3"/>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3"/>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4" w:name="the-seeded-note-proof"/>
      <w:bookmarkEnd w:id="14"/>
      <w:r>
        <w:rPr/>
        <w:t>The Seeded-Note Proof</w:t>
      </w:r>
    </w:p>
    <w:p>
      <w:pPr>
        <w:pStyle w:val="BodyText"/>
        <w:numPr>
          <w:ilvl w:val="0"/>
          <w:numId w:val="4"/>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4"/>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4"/>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4"/>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5" w:name="measured-against-the-real-vault_opspy-re"/>
      <w:bookmarkEnd w:id="15"/>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16" w:name="reading-stats"/>
      <w:bookmarkEnd w:id="16"/>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5"/>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5"/>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5"/>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5"/>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