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verify gate settled for HEAD, and a passing completion audit. Settled means every rule passed here, or the </w:t>
      </w:r>
      <w:r>
        <w:rPr>
          <w:rStyle w:val="SourceText"/>
        </w:rPr>
        <w:t>verify-gate</w:t>
      </w:r>
      <w:r>
        <w:rPr/>
        <w:t xml:space="preserve"> CI receipt for HEAD is VERIFIED (for a merge on main, the PR head's receipt when its tree is exactly the merge's): a rule too big for the Stop budget is deferred to CI, and a Stop turn where 0 rules ran proves nothing.</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xml:space="preserve">.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 The metrics row (schema 1.1) carries tokens split by kind, each assistant message counted once, and a list-price cost. They are an attributed lower bound: only the Claude Code transcripts tied to the ticket by a </w:t>
      </w:r>
      <w:r>
        <w:rPr>
          <w:rStyle w:val="SourceText"/>
        </w:rPr>
        <w:t>Ticket ID: &lt;id&gt;</w:t>
      </w:r>
      <w:r>
        <w:rPr/>
        <w:t xml:space="preserve"> line, a </w:t>
      </w:r>
      <w:r>
        <w:rPr>
          <w:rStyle w:val="SourceText"/>
        </w:rPr>
        <w:t>/crew:&lt;command&gt; &lt;id&gt;</w:t>
      </w:r>
      <w:r>
        <w:rPr/>
        <w:t xml:space="preserve"> or its own worktree count (a dispatch prompt's </w:t>
      </w:r>
      <w:r>
        <w:rPr>
          <w:rStyle w:val="SourceText"/>
        </w:rPr>
        <w:t>Ticket ID:</w:t>
      </w:r>
      <w:r>
        <w:rPr/>
        <w:t xml:space="preserve"> line ties a subagent), and when none can be tied both read </w:t>
      </w:r>
      <w:r>
        <w:rPr>
          <w:rStyle w:val="SourceText"/>
        </w:rPr>
        <w:t>UNKNOWN</w:t>
      </w:r>
      <w:r>
        <w:rPr/>
        <w:t xml:space="preserve">, never </w:t>
      </w:r>
      <w:r>
        <w:rPr>
          <w:rStyle w:val="SourceText"/>
        </w:rPr>
        <w:t>0</w:t>
      </w:r>
      <w:r>
        <w:rPr/>
        <w:t>.</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From a host that did not run the review, </w:t>
      </w:r>
      <w:r>
        <w:rPr>
          <w:rStyle w:val="SourceText"/>
        </w:rPr>
        <w:t>review_status.py check --pr &lt;PR&gt;</w:t>
      </w:r>
      <w:r>
        <w:rPr/>
        <w:t xml:space="preserve"> reads the published </w:t>
      </w:r>
      <w:r>
        <w:rPr>
          <w:rStyle w:val="SourceText"/>
        </w:rPr>
        <w:t>crew/review</w:t>
      </w:r>
      <w:r>
        <w:rPr/>
        <w:t xml:space="preserve"> status of that head; no status is could-not-tell and refuses, and nothing publishes one until L-0821 (L-0780).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144"/>
        <w:gridCol w:w="2248"/>
        <w:gridCol w:w="7947"/>
      </w:tblGrid>
      <w:tr>
        <w:trPr>
          <w:tblHeader w:val="true"/>
        </w:trPr>
        <w:tc>
          <w:tcPr>
            <w:tcW w:w="1144" w:type="dxa"/>
            <w:tcBorders/>
            <w:vAlign w:val="center"/>
          </w:tcPr>
          <w:p>
            <w:pPr>
              <w:pStyle w:val="TableHeading"/>
              <w:suppressLineNumbers/>
              <w:shd w:fill="434C5E" w:val="clear"/>
              <w:bidi w:val="0"/>
              <w:spacing w:before="120" w:after="120"/>
              <w:jc w:val="left"/>
              <w:rPr/>
            </w:pPr>
            <w:r>
              <w:rPr/>
              <w:t>When</w:t>
            </w:r>
          </w:p>
        </w:tc>
        <w:tc>
          <w:tcPr>
            <w:tcW w:w="2248" w:type="dxa"/>
            <w:tcBorders/>
            <w:vAlign w:val="center"/>
          </w:tcPr>
          <w:p>
            <w:pPr>
              <w:pStyle w:val="TableHeading"/>
              <w:suppressLineNumbers/>
              <w:shd w:fill="434C5E" w:val="clear"/>
              <w:bidi w:val="0"/>
              <w:spacing w:before="120" w:after="120"/>
              <w:jc w:val="left"/>
              <w:rPr/>
            </w:pPr>
            <w:r>
              <w:rPr/>
              <w:t>Hook</w:t>
            </w:r>
          </w:p>
        </w:tc>
        <w:tc>
          <w:tcPr>
            <w:tcW w:w="7947" w:type="dxa"/>
            <w:tcBorders/>
            <w:vAlign w:val="center"/>
          </w:tcPr>
          <w:p>
            <w:pPr>
              <w:pStyle w:val="TableHeading"/>
              <w:suppressLineNumbers/>
              <w:shd w:fill="434C5E" w:val="clear"/>
              <w:bidi w:val="0"/>
              <w:spacing w:before="120" w:after="120"/>
              <w:jc w:val="left"/>
              <w:rPr/>
            </w:pPr>
            <w:r>
              <w:rPr/>
              <w:t>Does</w:t>
            </w:r>
          </w:p>
        </w:tc>
      </w:tr>
      <w:tr>
        <w:trPr/>
        <w:tc>
          <w:tcPr>
            <w:tcW w:w="1144" w:type="dxa"/>
            <w:tcBorders/>
            <w:vAlign w:val="center"/>
          </w:tcPr>
          <w:p>
            <w:pPr>
              <w:pStyle w:val="TableContents"/>
              <w:shd w:fill="2E3440" w:val="clear"/>
              <w:bidi w:val="0"/>
              <w:spacing w:before="120" w:after="120"/>
              <w:jc w:val="left"/>
              <w:rPr/>
            </w:pPr>
            <w:r>
              <w:rPr/>
              <w:t>Every write</w:t>
            </w:r>
          </w:p>
        </w:tc>
        <w:tc>
          <w:tcPr>
            <w:tcW w:w="2248"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7947"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 xml:space="preserve">runs the rules for what changed that fit </w:t>
            </w:r>
            <w:r>
              <w:rPr>
                <w:rStyle w:val="SourceText"/>
              </w:rPr>
              <w:t>verify.stopBudgetSeconds</w:t>
            </w:r>
            <w:r>
              <w:rPr/>
              <w:t xml:space="preserve">; refuses to end the turn on a red check, never on a deferral (a rule too big for the budget goes to CI); prints one verdict line and the failures, the rest is in </w:t>
            </w:r>
            <w:r>
              <w:rPr>
                <w:rStyle w:val="SourceText"/>
              </w:rPr>
              <w:t>.crew/.verify-gate.log</w:t>
            </w:r>
            <w:r>
              <w:rPr/>
              <w:t xml:space="preserve"> (</w:t>
            </w:r>
            <w:r>
              <w:rPr>
                <w:rStyle w:val="SourceText"/>
              </w:rPr>
              <w:t>--verbose</w:t>
            </w:r>
            <w:r>
              <w:rPr/>
              <w:t xml:space="preserve"> shows it)</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144" w:type="dxa"/>
            <w:tcBorders/>
            <w:vAlign w:val="center"/>
          </w:tcPr>
          <w:p>
            <w:pPr>
              <w:pStyle w:val="TableContents"/>
              <w:shd w:fill="2E3440" w:val="clear"/>
              <w:bidi w:val="0"/>
              <w:spacing w:before="120" w:after="120"/>
              <w:jc w:val="left"/>
              <w:rPr/>
            </w:pPr>
            <w:r>
              <w:rPr/>
              <w:t>Session start</w:t>
            </w:r>
          </w:p>
        </w:tc>
        <w:tc>
          <w:tcPr>
            <w:tcW w:w="2248" w:type="dxa"/>
            <w:tcBorders/>
            <w:vAlign w:val="center"/>
          </w:tcPr>
          <w:p>
            <w:pPr>
              <w:pStyle w:val="TableContents"/>
              <w:shd w:fill="2E3440" w:val="clear"/>
              <w:bidi w:val="0"/>
              <w:spacing w:before="120" w:after="120"/>
              <w:jc w:val="left"/>
              <w:rPr/>
            </w:pPr>
            <w:r>
              <w:rPr/>
              <w:t>context</w:t>
            </w:r>
          </w:p>
        </w:tc>
        <w:tc>
          <w:tcPr>
            <w:tcW w:w="7947"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and leaves out only what the audit leaves out, so it names the same paths early, a </w:t>
      </w:r>
      <w:r>
        <w:rPr>
          <w:rStyle w:val="SourceText"/>
        </w:rPr>
        <w:t>sed -i</w:t>
      </w:r>
      <w:r>
        <w:rPr/>
        <w:t xml:space="preserve"> write, </w:t>
      </w:r>
      <w:r>
        <w:rPr>
          <w:rStyle w:val="SourceText"/>
        </w:rPr>
        <w:t>TODO.md</w:t>
      </w:r>
      <w:r>
        <w:rPr/>
        <w:t xml:space="preserve"> and a tracked </w:t>
      </w:r>
      <w:r>
        <w:rPr>
          <w:rStyle w:val="SourceText"/>
        </w:rPr>
        <w:t>.crew/</w:t>
      </w:r>
      <w:r>
        <w:rPr/>
        <w:t xml:space="preserve"> file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xml:space="preserve">, a Touch not yet approved, a ticket still in the pre-1.0 layout, or an </w:t>
      </w:r>
      <w:r>
        <w:rPr>
          <w:rStyle w:val="SourceText"/>
        </w:rPr>
        <w:t>INDEX.md</w:t>
      </w:r>
      <w:r>
        <w:rPr/>
        <w:t xml:space="preserve"> open ticket with no </w:t>
      </w:r>
      <w:r>
        <w:rPr>
          <w:rStyle w:val="SourceText"/>
        </w:rPr>
        <w:t>.work/tickets/&lt;id&gt;/</w:t>
      </w:r>
      <w:r>
        <w:rPr/>
        <w:t xml:space="preserve"> folder.</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