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rPr/>
      </w:pPr>
      <w:bookmarkStart w:id="0" w:name="crew-11-the-full-guide"/>
      <w:bookmarkEnd w:id="0"/>
      <w:r>
        <w:rPr/>
        <w:t>Crew 1.1 - the Full Guide</w:t>
      </w:r>
    </w:p>
    <w:p>
      <w:pPr>
        <w:pStyle w:val="BodyText"/>
        <w:bidi w:val="0"/>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rPr/>
      </w:pPr>
      <w:bookmarkStart w:id="1" w:name="what-crew-is-and-the-four-roles"/>
      <w:bookmarkEnd w:id="1"/>
      <w:r>
        <w:rPr/>
        <w:t>What Crew Is, and the Four Roles</w:t>
      </w:r>
    </w:p>
    <w:p>
      <w:pPr>
        <w:pStyle w:val="BodyText"/>
        <w:bidi w:val="0"/>
        <w:rPr/>
      </w:pPr>
      <w:r>
        <w:rPr/>
        <w:t xml:space="preserve">Source: </w:t>
      </w:r>
      <w:r>
        <w:rPr>
          <w:rStyle w:val="SourceText"/>
        </w:rPr>
        <w:t>plugin/crew/README.md</w:t>
      </w:r>
      <w:r>
        <w:rPr/>
        <w:t>, sections 1 and 22.</w:t>
      </w:r>
    </w:p>
    <w:p>
      <w:pPr>
        <w:pStyle w:val="BodyText"/>
        <w:bidi w:val="0"/>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rPr/>
      </w:pPr>
      <w:r>
        <w:rPr/>
        <w:t>crew 1.1 ships four agents.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313"/>
        <w:gridCol w:w="7347"/>
        <w:gridCol w:w="2679"/>
      </w:tblGrid>
      <w:tr>
        <w:trPr>
          <w:tblHeader w:val="true"/>
        </w:trPr>
        <w:tc>
          <w:tcPr>
            <w:tcW w:w="1313" w:type="dxa"/>
            <w:tcBorders/>
            <w:vAlign w:val="center"/>
          </w:tcPr>
          <w:p>
            <w:pPr>
              <w:pStyle w:val="TableHeading"/>
              <w:suppressLineNumbers/>
              <w:shd w:fill="434C5E" w:val="clear"/>
              <w:bidi w:val="0"/>
              <w:spacing w:before="120" w:after="120"/>
              <w:jc w:val="left"/>
              <w:rPr/>
            </w:pPr>
            <w:r>
              <w:rPr/>
              <w:t>Role</w:t>
            </w:r>
          </w:p>
        </w:tc>
        <w:tc>
          <w:tcPr>
            <w:tcW w:w="7347" w:type="dxa"/>
            <w:tcBorders/>
            <w:vAlign w:val="center"/>
          </w:tcPr>
          <w:p>
            <w:pPr>
              <w:pStyle w:val="TableHeading"/>
              <w:suppressLineNumbers/>
              <w:shd w:fill="434C5E" w:val="clear"/>
              <w:bidi w:val="0"/>
              <w:spacing w:before="120" w:after="120"/>
              <w:jc w:val="left"/>
              <w:rPr/>
            </w:pPr>
            <w:r>
              <w:rPr/>
              <w:t>What it does</w:t>
            </w:r>
          </w:p>
        </w:tc>
        <w:tc>
          <w:tcPr>
            <w:tcW w:w="2679" w:type="dxa"/>
            <w:tcBorders/>
            <w:vAlign w:val="center"/>
          </w:tcPr>
          <w:p>
            <w:pPr>
              <w:pStyle w:val="TableHeading"/>
              <w:suppressLineNumbers/>
              <w:shd w:fill="434C5E" w:val="clear"/>
              <w:bidi w:val="0"/>
              <w:spacing w:before="120" w:after="120"/>
              <w:jc w:val="left"/>
              <w:rPr/>
            </w:pPr>
            <w:r>
              <w:rPr/>
              <w:t>What it cannot do</w:t>
            </w:r>
          </w:p>
        </w:tc>
      </w:tr>
      <w:tr>
        <w:trPr/>
        <w:tc>
          <w:tcPr>
            <w:tcW w:w="1313" w:type="dxa"/>
            <w:tcBorders/>
            <w:vAlign w:val="center"/>
          </w:tcPr>
          <w:p>
            <w:pPr>
              <w:pStyle w:val="TableContents"/>
              <w:shd w:fill="2E3440" w:val="clear"/>
              <w:bidi w:val="0"/>
              <w:spacing w:before="120" w:after="120"/>
              <w:jc w:val="left"/>
              <w:rPr/>
            </w:pPr>
            <w:r>
              <w:rPr>
                <w:rStyle w:val="SourceText"/>
              </w:rPr>
              <w:t>explorer</w:t>
            </w:r>
          </w:p>
        </w:tc>
        <w:tc>
          <w:tcPr>
            <w:tcW w:w="7347" w:type="dxa"/>
            <w:tcBorders/>
            <w:vAlign w:val="center"/>
          </w:tcPr>
          <w:p>
            <w:pPr>
              <w:pStyle w:val="TableContents"/>
              <w:shd w:fill="2E3440" w:val="clear"/>
              <w:bidi w:val="0"/>
              <w:spacing w:before="120" w:after="120"/>
              <w:jc w:val="left"/>
              <w:rPr/>
            </w:pPr>
            <w:r>
              <w:rPr/>
              <w:t>Maps the code a ticket touches</w:t>
            </w:r>
          </w:p>
        </w:tc>
        <w:tc>
          <w:tcPr>
            <w:tcW w:w="2679" w:type="dxa"/>
            <w:tcBorders/>
            <w:vAlign w:val="center"/>
          </w:tcPr>
          <w:p>
            <w:pPr>
              <w:pStyle w:val="TableContents"/>
              <w:shd w:fill="2E3440" w:val="clear"/>
              <w:bidi w:val="0"/>
              <w:spacing w:before="120" w:after="120"/>
              <w:jc w:val="left"/>
              <w:rPr/>
            </w:pPr>
            <w:r>
              <w:rPr/>
              <w:t>No Write, Edit or Bash</w:t>
            </w:r>
          </w:p>
        </w:tc>
      </w:tr>
      <w:tr>
        <w:trPr/>
        <w:tc>
          <w:tcPr>
            <w:tcW w:w="1313" w:type="dxa"/>
            <w:tcBorders/>
            <w:vAlign w:val="center"/>
          </w:tcPr>
          <w:p>
            <w:pPr>
              <w:pStyle w:val="TableContents"/>
              <w:shd w:fill="2E3440" w:val="clear"/>
              <w:bidi w:val="0"/>
              <w:spacing w:before="120" w:after="120"/>
              <w:jc w:val="left"/>
              <w:rPr/>
            </w:pPr>
            <w:r>
              <w:rPr>
                <w:rStyle w:val="SourceText"/>
              </w:rPr>
              <w:t>reviewer</w:t>
            </w:r>
          </w:p>
        </w:tc>
        <w:tc>
          <w:tcPr>
            <w:tcW w:w="7347"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2679" w:type="dxa"/>
            <w:tcBorders/>
            <w:vAlign w:val="center"/>
          </w:tcPr>
          <w:p>
            <w:pPr>
              <w:pStyle w:val="TableContents"/>
              <w:shd w:fill="2E3440" w:val="clear"/>
              <w:bidi w:val="0"/>
              <w:spacing w:before="120" w:after="120"/>
              <w:jc w:val="left"/>
              <w:rPr/>
            </w:pPr>
            <w:r>
              <w:rPr/>
              <w:t>Writes nothing to the tree</w:t>
            </w:r>
          </w:p>
        </w:tc>
      </w:tr>
      <w:tr>
        <w:trPr/>
        <w:tc>
          <w:tcPr>
            <w:tcW w:w="1313" w:type="dxa"/>
            <w:tcBorders/>
            <w:vAlign w:val="center"/>
          </w:tcPr>
          <w:p>
            <w:pPr>
              <w:pStyle w:val="TableContents"/>
              <w:shd w:fill="2E3440" w:val="clear"/>
              <w:bidi w:val="0"/>
              <w:spacing w:before="120" w:after="120"/>
              <w:jc w:val="left"/>
              <w:rPr/>
            </w:pPr>
            <w:r>
              <w:rPr>
                <w:rStyle w:val="SourceText"/>
              </w:rPr>
              <w:t>security</w:t>
            </w:r>
          </w:p>
        </w:tc>
        <w:tc>
          <w:tcPr>
            <w:tcW w:w="7347" w:type="dxa"/>
            <w:tcBorders/>
            <w:vAlign w:val="center"/>
          </w:tcPr>
          <w:p>
            <w:pPr>
              <w:pStyle w:val="TableContents"/>
              <w:shd w:fill="2E3440" w:val="clear"/>
              <w:bidi w:val="0"/>
              <w:spacing w:before="120" w:after="120"/>
              <w:jc w:val="left"/>
              <w:rPr/>
            </w:pPr>
            <w:r>
              <w:rPr/>
              <w:t>Read-only review of risky changes</w:t>
            </w:r>
          </w:p>
        </w:tc>
        <w:tc>
          <w:tcPr>
            <w:tcW w:w="2679" w:type="dxa"/>
            <w:tcBorders/>
            <w:vAlign w:val="center"/>
          </w:tcPr>
          <w:p>
            <w:pPr>
              <w:pStyle w:val="TableContents"/>
              <w:shd w:fill="2E3440" w:val="clear"/>
              <w:bidi w:val="0"/>
              <w:spacing w:before="120" w:after="120"/>
              <w:jc w:val="left"/>
              <w:rPr/>
            </w:pPr>
            <w:r>
              <w:rPr/>
              <w:t>No Write or Edit</w:t>
            </w:r>
          </w:p>
        </w:tc>
      </w:tr>
      <w:tr>
        <w:trPr/>
        <w:tc>
          <w:tcPr>
            <w:tcW w:w="1313" w:type="dxa"/>
            <w:tcBorders/>
            <w:vAlign w:val="center"/>
          </w:tcPr>
          <w:p>
            <w:pPr>
              <w:pStyle w:val="TableContents"/>
              <w:shd w:fill="2E3440" w:val="clear"/>
              <w:bidi w:val="0"/>
              <w:spacing w:before="120" w:after="120"/>
              <w:jc w:val="left"/>
              <w:rPr/>
            </w:pPr>
            <w:r>
              <w:rPr>
                <w:rStyle w:val="SourceText"/>
              </w:rPr>
              <w:t>researcher</w:t>
            </w:r>
          </w:p>
        </w:tc>
        <w:tc>
          <w:tcPr>
            <w:tcW w:w="7347" w:type="dxa"/>
            <w:tcBorders/>
            <w:vAlign w:val="center"/>
          </w:tcPr>
          <w:p>
            <w:pPr>
              <w:pStyle w:val="TableContents"/>
              <w:shd w:fill="2E3440" w:val="clear"/>
              <w:bidi w:val="0"/>
              <w:spacing w:before="120" w:after="120"/>
              <w:jc w:val="left"/>
              <w:rPr/>
            </w:pPr>
            <w:r>
              <w:rPr/>
              <w:t>Reads external sources only</w:t>
            </w:r>
          </w:p>
        </w:tc>
        <w:tc>
          <w:tcPr>
            <w:tcW w:w="2679" w:type="dxa"/>
            <w:tcBorders/>
            <w:vAlign w:val="center"/>
          </w:tcPr>
          <w:p>
            <w:pPr>
              <w:pStyle w:val="TableContents"/>
              <w:shd w:fill="2E3440" w:val="clear"/>
              <w:bidi w:val="0"/>
              <w:spacing w:before="120" w:after="120"/>
              <w:jc w:val="left"/>
              <w:rPr/>
            </w:pPr>
            <w:r>
              <w:rPr/>
              <w:t>Does not edit the repo</w:t>
            </w:r>
          </w:p>
        </w:tc>
      </w:tr>
    </w:tbl>
    <w:p>
      <w:pPr>
        <w:pStyle w:val="BodyText"/>
        <w:bidi w:val="0"/>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rPr/>
      </w:pPr>
      <w:bookmarkStart w:id="2" w:name="install-and-update"/>
      <w:bookmarkEnd w:id="2"/>
      <w:r>
        <w:rPr/>
        <w:t>Install and Update</w:t>
      </w:r>
    </w:p>
    <w:p>
      <w:pPr>
        <w:pStyle w:val="BodyText"/>
        <w:bidi w:val="0"/>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rPr/>
      </w:pPr>
      <w:r>
        <w:rPr>
          <w:rStyle w:val="SourceText"/>
        </w:rPr>
        <w:t>claude plugin marketplace update useful-claude-add-ons</w:t>
      </w:r>
    </w:p>
    <w:p>
      <w:pPr>
        <w:pStyle w:val="PreformattedText"/>
        <w:bidi w:val="0"/>
        <w:rPr/>
      </w:pPr>
      <w:r>
        <w:rPr>
          <w:rStyle w:val="SourceText"/>
        </w:rPr>
        <w:t>claude plugin update crew@useful-claude-add-ons</w:t>
      </w:r>
    </w:p>
    <w:p>
      <w:pPr>
        <w:pStyle w:val="BodyText"/>
        <w:bidi w:val="0"/>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rPr/>
      </w:pPr>
      <w:bookmarkStart w:id="3" w:name="init-and-migrate"/>
      <w:bookmarkEnd w:id="3"/>
      <w:r>
        <w:rPr/>
        <w:t>Init and Migrate</w:t>
      </w:r>
    </w:p>
    <w:p>
      <w:pPr>
        <w:pStyle w:val="BodyText"/>
        <w:bidi w:val="0"/>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rPr/>
      </w:pPr>
      <w:r>
        <w:rPr/>
        <w:t xml:space="preserve">Deeper: </w:t>
      </w:r>
      <w:hyperlink r:id="rId4">
        <w:r>
          <w:rPr>
            <w:rStyle w:val="Hyperlink"/>
          </w:rPr>
          <w:t>Quickstart</w:t>
        </w:r>
      </w:hyperlink>
      <w:r>
        <w:rPr/>
        <w:t>.</w:t>
      </w:r>
    </w:p>
    <w:p>
      <w:pPr>
        <w:pStyle w:val="Heading2"/>
        <w:bidi w:val="0"/>
        <w:ind w:hanging="0" w:left="0" w:right="0"/>
        <w:rPr/>
      </w:pPr>
      <w:bookmarkStart w:id="4" w:name="the-lifecycle"/>
      <w:bookmarkEnd w:id="4"/>
      <w:r>
        <w:rPr/>
        <w:t>The Lifecycle</w:t>
      </w:r>
    </w:p>
    <w:p>
      <w:pPr>
        <w:pStyle w:val="BodyText"/>
        <w:bidi w:val="0"/>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rPr/>
      </w:pPr>
      <w:r>
        <w:rPr/>
        <w:t>Then:</w:t>
      </w:r>
    </w:p>
    <w:p>
      <w:pPr>
        <w:pStyle w:val="BodyText"/>
        <w:numPr>
          <w:ilvl w:val="0"/>
          <w:numId w:val="2"/>
        </w:numPr>
        <w:tabs>
          <w:tab w:val="clear" w:pos="1134"/>
          <w:tab w:val="left" w:pos="829" w:leader="none"/>
        </w:tabs>
        <w:bidi w:val="0"/>
        <w:spacing w:before="120" w:after="0"/>
        <w:ind w:hanging="283" w:left="829"/>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rPr/>
      </w:pPr>
      <w:bookmarkStart w:id="5" w:name="review-the-ledger-and-acceptance"/>
      <w:bookmarkEnd w:id="5"/>
      <w:r>
        <w:rPr/>
        <w:t>Review, the Ledger and Acceptance</w:t>
      </w:r>
    </w:p>
    <w:p>
      <w:pPr>
        <w:pStyle w:val="BodyText"/>
        <w:bidi w:val="0"/>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rPr/>
      </w:pPr>
      <w:r>
        <w:rPr/>
        <w:t xml:space="preserve">Deeper: "Review loops" in </w:t>
      </w:r>
      <w:hyperlink r:id="rId7">
        <w:r>
          <w:rPr>
            <w:rStyle w:val="Hyperlink"/>
          </w:rPr>
          <w:t>Troubleshooting</w:t>
        </w:r>
      </w:hyperlink>
      <w:r>
        <w:rPr/>
        <w:t>.</w:t>
      </w:r>
    </w:p>
    <w:p>
      <w:pPr>
        <w:pStyle w:val="Heading2"/>
        <w:bidi w:val="0"/>
        <w:ind w:hanging="0" w:left="0" w:right="0"/>
        <w:rPr/>
      </w:pPr>
      <w:bookmarkStart w:id="6" w:name="refresh-artifacts"/>
      <w:bookmarkEnd w:id="6"/>
      <w:r>
        <w:rPr/>
        <w:t>Refresh Artifacts</w:t>
      </w:r>
    </w:p>
    <w:p>
      <w:pPr>
        <w:pStyle w:val="BodyText"/>
        <w:bidi w:val="0"/>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rPr/>
      </w:pPr>
      <w:bookmarkStart w:id="7" w:name="the-guards"/>
      <w:bookmarkEnd w:id="7"/>
      <w:r>
        <w:rPr/>
        <w:t>The Guards</w:t>
      </w:r>
    </w:p>
    <w:p>
      <w:pPr>
        <w:pStyle w:val="BodyText"/>
        <w:bidi w:val="0"/>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rPr/>
      </w:pPr>
      <w:r>
        <w:rPr/>
        <w:t>What is on by default, and what is not:</w:t>
      </w:r>
    </w:p>
    <w:p>
      <w:pPr>
        <w:pStyle w:val="BodyText"/>
        <w:numPr>
          <w:ilvl w:val="0"/>
          <w:numId w:val="4"/>
        </w:numPr>
        <w:tabs>
          <w:tab w:val="clear" w:pos="1134"/>
          <w:tab w:val="left" w:pos="829" w:leader="none"/>
        </w:tabs>
        <w:bidi w:val="0"/>
        <w:spacing w:before="120" w:after="0"/>
        <w:ind w:hanging="283" w:left="829"/>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Those requirements are read from the </w:t>
      </w:r>
      <w:r>
        <w:rPr>
          <w:rStyle w:val="SourceText"/>
        </w:rPr>
        <w:t>.crew/verify.json</w:t>
      </w:r>
      <w:r>
        <w:rPr/>
        <w:t xml:space="preserve"> committed in the sha being deployed, so a deploy from a worktree follows its own branch's committed map, not the main checkout's.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rPr/>
      </w:pPr>
      <w:r>
        <w:rPr/>
        <w:t>The guards stop drift and accidents, not a session set on forging local state: the receipts are files on your machine. The completion audit and the reviewer are the backstop.</w:t>
      </w:r>
    </w:p>
    <w:p>
      <w:pPr>
        <w:pStyle w:val="BodyText"/>
        <w:bidi w:val="0"/>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rPr/>
      </w:pPr>
      <w:bookmarkStart w:id="8" w:name="autopilot-today"/>
      <w:bookmarkEnd w:id="8"/>
      <w:r>
        <w:rPr/>
        <w:t>Autopilot Today</w:t>
      </w:r>
    </w:p>
    <w:p>
      <w:pPr>
        <w:pStyle w:val="BodyText"/>
        <w:bidi w:val="0"/>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rPr/>
      </w:pPr>
      <w:r>
        <w:rPr/>
        <w:t xml:space="preserve">a review ledger at </w:t>
      </w:r>
      <w:r>
        <w:rPr>
          <w:rStyle w:val="SourceText"/>
        </w:rPr>
        <w:t>NEEDS_REPLAN</w:t>
      </w:r>
      <w:r>
        <w:rPr/>
        <w:t xml:space="preserve">, or anything autopilot cannot tell. </w:t>
      </w:r>
    </w:p>
    <w:p>
      <w:pPr>
        <w:pStyle w:val="BodyText"/>
        <w:bidi w:val="0"/>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rPr/>
      </w:pPr>
      <w:r>
        <w:rPr/>
        <w:t>A separate autopilot guide with worked examples is planned as T-0054.</w:t>
      </w:r>
    </w:p>
    <w:p>
      <w:pPr>
        <w:pStyle w:val="Heading2"/>
        <w:bidi w:val="0"/>
        <w:ind w:hanging="0" w:left="0" w:right="0"/>
        <w:rPr/>
      </w:pPr>
      <w:bookmarkStart w:id="9" w:name="trackers"/>
      <w:bookmarkEnd w:id="9"/>
      <w:r>
        <w:rPr/>
        <w:t>Trackers</w:t>
      </w:r>
    </w:p>
    <w:p>
      <w:pPr>
        <w:pStyle w:val="BodyText"/>
        <w:bidi w:val="0"/>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rPr/>
      </w:pPr>
      <w:r>
        <w:rPr/>
        <w:t xml:space="preserve">Deeper: </w:t>
      </w:r>
      <w:hyperlink r:id="rId10">
        <w:r>
          <w:rPr>
            <w:rStyle w:val="Hyperlink"/>
          </w:rPr>
          <w:t>Memory and Obsidian</w:t>
        </w:r>
      </w:hyperlink>
      <w:r>
        <w:rPr/>
        <w:t>.</w:t>
      </w:r>
    </w:p>
    <w:p>
      <w:pPr>
        <w:pStyle w:val="Heading2"/>
        <w:bidi w:val="0"/>
        <w:ind w:hanging="0" w:left="0" w:right="0"/>
        <w:rPr/>
      </w:pPr>
      <w:bookmarkStart w:id="10" w:name="multi-session-work"/>
      <w:bookmarkEnd w:id="10"/>
      <w:r>
        <w:rPr/>
        <w:t>Multi-Session Work</w:t>
      </w:r>
    </w:p>
    <w:p>
      <w:pPr>
        <w:pStyle w:val="BodyText"/>
        <w:bidi w:val="0"/>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rPr/>
      </w:pPr>
      <w:r>
        <w:rPr/>
        <w:t>Cross-session coordination claims arrive with T-0030.</w:t>
      </w:r>
    </w:p>
    <w:p>
      <w:pPr>
        <w:pStyle w:val="Heading2"/>
        <w:bidi w:val="0"/>
        <w:ind w:hanging="0" w:left="0" w:right="0"/>
        <w:rPr/>
      </w:pPr>
      <w:bookmarkStart w:id="11" w:name="windows"/>
      <w:bookmarkEnd w:id="11"/>
      <w:r>
        <w:rPr/>
        <w:t>Windows</w:t>
      </w:r>
    </w:p>
    <w:p>
      <w:pPr>
        <w:pStyle w:val="BodyText"/>
        <w:bidi w:val="0"/>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rPr/>
      </w:pPr>
      <w:bookmarkStart w:id="12" w:name="troubleshooting"/>
      <w:bookmarkEnd w:id="12"/>
      <w:r>
        <w:rPr/>
        <w:t>Troubleshooting</w:t>
      </w:r>
    </w:p>
    <w:p>
      <w:pPr>
        <w:pStyle w:val="BodyText"/>
        <w:bidi w:val="0"/>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rPr/>
      </w:pPr>
      <w:r>
        <w:rPr/>
        <w:t xml:space="preserve">Deeper: </w:t>
      </w:r>
      <w:hyperlink r:id="rId13">
        <w:r>
          <w:rPr>
            <w:rStyle w:val="Hyperlink"/>
          </w:rPr>
          <w:t>Troubleshooting</w:t>
        </w:r>
      </w:hyperlink>
      <w:r>
        <w:rPr/>
        <w:t>.</w:t>
      </w:r>
    </w:p>
    <w:p>
      <w:pPr>
        <w:pStyle w:val="Heading2"/>
        <w:bidi w:val="0"/>
        <w:ind w:hanging="0" w:left="0" w:right="0"/>
        <w:rPr/>
      </w:pPr>
      <w:bookmarkStart w:id="13" w:name="what-is-coming"/>
      <w:bookmarkEnd w:id="13"/>
      <w:r>
        <w:rPr/>
        <w:t>What Is Coming</w:t>
      </w:r>
    </w:p>
    <w:p>
      <w:pPr>
        <w:pStyle w:val="BodyText"/>
        <w:bidi w:val="0"/>
        <w:rPr/>
      </w:pPr>
      <w:r>
        <w:rPr/>
        <w:t>These tickets are approved or filed and have not landed. Nothing in this guide describes them as present.</w:t>
      </w:r>
    </w:p>
    <w:tbl>
      <w:tblPr>
        <w:tblW w:w="9571" w:type="dxa"/>
        <w:jc w:val="left"/>
        <w:tblInd w:w="28" w:type="dxa"/>
        <w:tblLayout w:type="fixed"/>
        <w:tblCellMar>
          <w:top w:w="28" w:type="dxa"/>
          <w:left w:w="28" w:type="dxa"/>
          <w:bottom w:w="28" w:type="dxa"/>
          <w:right w:w="28" w:type="dxa"/>
        </w:tblCellMar>
      </w:tblPr>
      <w:tblGrid>
        <w:gridCol w:w="932"/>
        <w:gridCol w:w="8639"/>
      </w:tblGrid>
      <w:tr>
        <w:trPr>
          <w:tblHeader w:val="true"/>
        </w:trPr>
        <w:tc>
          <w:tcPr>
            <w:tcW w:w="932" w:type="dxa"/>
            <w:tcBorders/>
            <w:vAlign w:val="center"/>
          </w:tcPr>
          <w:p>
            <w:pPr>
              <w:pStyle w:val="TableHeading"/>
              <w:suppressLineNumbers/>
              <w:shd w:fill="434C5E" w:val="clear"/>
              <w:bidi w:val="0"/>
              <w:spacing w:before="120" w:after="120"/>
              <w:jc w:val="left"/>
              <w:rPr/>
            </w:pPr>
            <w:r>
              <w:rPr/>
              <w:t>Ticket</w:t>
            </w:r>
          </w:p>
        </w:tc>
        <w:tc>
          <w:tcPr>
            <w:tcW w:w="8639" w:type="dxa"/>
            <w:tcBorders/>
            <w:vAlign w:val="center"/>
          </w:tcPr>
          <w:p>
            <w:pPr>
              <w:pStyle w:val="TableHeading"/>
              <w:suppressLineNumbers/>
              <w:shd w:fill="434C5E" w:val="clear"/>
              <w:bidi w:val="0"/>
              <w:spacing w:before="120" w:after="120"/>
              <w:jc w:val="left"/>
              <w:rPr/>
            </w:pPr>
            <w:r>
              <w:rPr/>
              <w:t>What it brings</w:t>
            </w:r>
          </w:p>
        </w:tc>
      </w:tr>
      <w:tr>
        <w:trPr/>
        <w:tc>
          <w:tcPr>
            <w:tcW w:w="932" w:type="dxa"/>
            <w:tcBorders/>
            <w:vAlign w:val="center"/>
          </w:tcPr>
          <w:p>
            <w:pPr>
              <w:pStyle w:val="TableContents"/>
              <w:shd w:fill="2E3440" w:val="clear"/>
              <w:bidi w:val="0"/>
              <w:spacing w:before="120" w:after="120"/>
              <w:jc w:val="left"/>
              <w:rPr/>
            </w:pPr>
            <w:r>
              <w:rPr/>
              <w:t>T-0009</w:t>
            </w:r>
          </w:p>
        </w:tc>
        <w:tc>
          <w:tcPr>
            <w:tcW w:w="8639"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32" w:type="dxa"/>
            <w:tcBorders/>
            <w:vAlign w:val="center"/>
          </w:tcPr>
          <w:p>
            <w:pPr>
              <w:pStyle w:val="TableContents"/>
              <w:shd w:fill="2E3440" w:val="clear"/>
              <w:bidi w:val="0"/>
              <w:spacing w:before="120" w:after="120"/>
              <w:jc w:val="left"/>
              <w:rPr/>
            </w:pPr>
            <w:r>
              <w:rPr/>
              <w:t>T-0012</w:t>
            </w:r>
          </w:p>
        </w:tc>
        <w:tc>
          <w:tcPr>
            <w:tcW w:w="8639" w:type="dxa"/>
            <w:tcBorders/>
            <w:vAlign w:val="center"/>
          </w:tcPr>
          <w:p>
            <w:pPr>
              <w:pStyle w:val="TableContents"/>
              <w:shd w:fill="2E3440" w:val="clear"/>
              <w:bidi w:val="0"/>
              <w:spacing w:before="120" w:after="120"/>
              <w:jc w:val="left"/>
              <w:rPr/>
            </w:pPr>
            <w:r>
              <w:rPr/>
              <w:t>Autopilot goals and backlogs, with per-run caps</w:t>
            </w:r>
          </w:p>
        </w:tc>
      </w:tr>
      <w:tr>
        <w:trPr/>
        <w:tc>
          <w:tcPr>
            <w:tcW w:w="932" w:type="dxa"/>
            <w:tcBorders/>
            <w:vAlign w:val="center"/>
          </w:tcPr>
          <w:p>
            <w:pPr>
              <w:pStyle w:val="TableContents"/>
              <w:shd w:fill="2E3440" w:val="clear"/>
              <w:bidi w:val="0"/>
              <w:spacing w:before="120" w:after="120"/>
              <w:jc w:val="left"/>
              <w:rPr/>
            </w:pPr>
            <w:r>
              <w:rPr/>
              <w:t>T-0019</w:t>
            </w:r>
          </w:p>
        </w:tc>
        <w:tc>
          <w:tcPr>
            <w:tcW w:w="8639" w:type="dxa"/>
            <w:tcBorders/>
            <w:vAlign w:val="center"/>
          </w:tcPr>
          <w:p>
            <w:pPr>
              <w:pStyle w:val="TableContents"/>
              <w:shd w:fill="2E3440" w:val="clear"/>
              <w:bidi w:val="0"/>
              <w:spacing w:before="120" w:after="120"/>
              <w:jc w:val="left"/>
              <w:rPr/>
            </w:pPr>
            <w:r>
              <w:rPr>
                <w:rStyle w:val="SourceText"/>
              </w:rPr>
              <w:t>/crew:autopilot assign</w:t>
            </w:r>
          </w:p>
        </w:tc>
      </w:tr>
      <w:tr>
        <w:trPr/>
        <w:tc>
          <w:tcPr>
            <w:tcW w:w="932" w:type="dxa"/>
            <w:tcBorders/>
            <w:vAlign w:val="center"/>
          </w:tcPr>
          <w:p>
            <w:pPr>
              <w:pStyle w:val="TableContents"/>
              <w:shd w:fill="2E3440" w:val="clear"/>
              <w:bidi w:val="0"/>
              <w:spacing w:before="120" w:after="120"/>
              <w:jc w:val="left"/>
              <w:rPr/>
            </w:pPr>
            <w:r>
              <w:rPr/>
              <w:t>T-0029</w:t>
            </w:r>
          </w:p>
        </w:tc>
        <w:tc>
          <w:tcPr>
            <w:tcW w:w="8639" w:type="dxa"/>
            <w:tcBorders/>
            <w:vAlign w:val="center"/>
          </w:tcPr>
          <w:p>
            <w:pPr>
              <w:pStyle w:val="TableContents"/>
              <w:shd w:fill="2E3440" w:val="clear"/>
              <w:bidi w:val="0"/>
              <w:spacing w:before="120" w:after="120"/>
              <w:jc w:val="left"/>
              <w:rPr/>
            </w:pPr>
            <w:r>
              <w:rPr/>
              <w:t>Parallel autopilot lanes and a review policy</w:t>
            </w:r>
          </w:p>
        </w:tc>
      </w:tr>
      <w:tr>
        <w:trPr/>
        <w:tc>
          <w:tcPr>
            <w:tcW w:w="932" w:type="dxa"/>
            <w:tcBorders/>
            <w:vAlign w:val="center"/>
          </w:tcPr>
          <w:p>
            <w:pPr>
              <w:pStyle w:val="TableContents"/>
              <w:shd w:fill="2E3440" w:val="clear"/>
              <w:bidi w:val="0"/>
              <w:spacing w:before="120" w:after="120"/>
              <w:jc w:val="left"/>
              <w:rPr/>
            </w:pPr>
            <w:r>
              <w:rPr/>
              <w:t>T-0030</w:t>
            </w:r>
          </w:p>
        </w:tc>
        <w:tc>
          <w:tcPr>
            <w:tcW w:w="8639" w:type="dxa"/>
            <w:tcBorders/>
            <w:vAlign w:val="center"/>
          </w:tcPr>
          <w:p>
            <w:pPr>
              <w:pStyle w:val="TableContents"/>
              <w:shd w:fill="2E3440" w:val="clear"/>
              <w:bidi w:val="0"/>
              <w:spacing w:before="120" w:after="120"/>
              <w:jc w:val="left"/>
              <w:rPr/>
            </w:pPr>
            <w:r>
              <w:rPr/>
              <w:t>Cross-session coordination claims</w:t>
            </w:r>
          </w:p>
        </w:tc>
      </w:tr>
      <w:tr>
        <w:trPr/>
        <w:tc>
          <w:tcPr>
            <w:tcW w:w="932" w:type="dxa"/>
            <w:tcBorders/>
            <w:vAlign w:val="center"/>
          </w:tcPr>
          <w:p>
            <w:pPr>
              <w:pStyle w:val="TableContents"/>
              <w:shd w:fill="2E3440" w:val="clear"/>
              <w:bidi w:val="0"/>
              <w:spacing w:before="120" w:after="120"/>
              <w:jc w:val="left"/>
              <w:rPr/>
            </w:pPr>
            <w:r>
              <w:rPr/>
              <w:t>T-0044</w:t>
            </w:r>
          </w:p>
        </w:tc>
        <w:tc>
          <w:tcPr>
            <w:tcW w:w="8639"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32" w:type="dxa"/>
            <w:tcBorders/>
            <w:vAlign w:val="center"/>
          </w:tcPr>
          <w:p>
            <w:pPr>
              <w:pStyle w:val="TableContents"/>
              <w:shd w:fill="2E3440" w:val="clear"/>
              <w:bidi w:val="0"/>
              <w:spacing w:before="120" w:after="120"/>
              <w:jc w:val="left"/>
              <w:rPr/>
            </w:pPr>
            <w:r>
              <w:rPr/>
              <w:t>T-0045</w:t>
            </w:r>
          </w:p>
        </w:tc>
        <w:tc>
          <w:tcPr>
            <w:tcW w:w="8639"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32" w:type="dxa"/>
            <w:tcBorders/>
            <w:vAlign w:val="center"/>
          </w:tcPr>
          <w:p>
            <w:pPr>
              <w:pStyle w:val="TableContents"/>
              <w:shd w:fill="2E3440" w:val="clear"/>
              <w:bidi w:val="0"/>
              <w:spacing w:before="120" w:after="120"/>
              <w:jc w:val="left"/>
              <w:rPr/>
            </w:pPr>
            <w:r>
              <w:rPr/>
              <w:t>T-0046</w:t>
            </w:r>
          </w:p>
        </w:tc>
        <w:tc>
          <w:tcPr>
            <w:tcW w:w="8639" w:type="dxa"/>
            <w:tcBorders/>
            <w:vAlign w:val="center"/>
          </w:tcPr>
          <w:p>
            <w:pPr>
              <w:pStyle w:val="TableContents"/>
              <w:shd w:fill="2E3440" w:val="clear"/>
              <w:bidi w:val="0"/>
              <w:spacing w:before="120" w:after="120"/>
              <w:jc w:val="left"/>
              <w:rPr/>
            </w:pPr>
            <w:r>
              <w:rPr/>
              <w:t>Release bookkeeping admitted without a Touch entry</w:t>
            </w:r>
          </w:p>
        </w:tc>
      </w:tr>
      <w:tr>
        <w:trPr/>
        <w:tc>
          <w:tcPr>
            <w:tcW w:w="932" w:type="dxa"/>
            <w:tcBorders/>
            <w:vAlign w:val="center"/>
          </w:tcPr>
          <w:p>
            <w:pPr>
              <w:pStyle w:val="TableContents"/>
              <w:shd w:fill="2E3440" w:val="clear"/>
              <w:bidi w:val="0"/>
              <w:spacing w:before="120" w:after="120"/>
              <w:jc w:val="left"/>
              <w:rPr/>
            </w:pPr>
            <w:r>
              <w:rPr/>
              <w:t>T-0054</w:t>
            </w:r>
          </w:p>
        </w:tc>
        <w:tc>
          <w:tcPr>
            <w:tcW w:w="8639" w:type="dxa"/>
            <w:tcBorders/>
            <w:vAlign w:val="center"/>
          </w:tcPr>
          <w:p>
            <w:pPr>
              <w:pStyle w:val="TableContents"/>
              <w:shd w:fill="2E3440" w:val="clear"/>
              <w:bidi w:val="0"/>
              <w:spacing w:before="120" w:after="120"/>
              <w:jc w:val="left"/>
              <w:rPr/>
            </w:pPr>
            <w:r>
              <w:rPr/>
              <w:t>A separate autopilot guide with worked examples</w:t>
            </w:r>
          </w:p>
        </w:tc>
      </w:tr>
      <w:tr>
        <w:trPr/>
        <w:tc>
          <w:tcPr>
            <w:tcW w:w="932" w:type="dxa"/>
            <w:tcBorders/>
            <w:vAlign w:val="center"/>
          </w:tcPr>
          <w:p>
            <w:pPr>
              <w:pStyle w:val="TableContents"/>
              <w:shd w:fill="2E3440" w:val="clear"/>
              <w:bidi w:val="0"/>
              <w:spacing w:before="120" w:after="120"/>
              <w:jc w:val="left"/>
              <w:rPr/>
            </w:pPr>
            <w:r>
              <w:rPr/>
              <w:t>T-0506</w:t>
            </w:r>
          </w:p>
        </w:tc>
        <w:tc>
          <w:tcPr>
            <w:tcW w:w="8639"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rPr/>
      </w:pPr>
      <w:r>
        <w:rPr/>
        <w:t>The configuration reference lists the settings each of these adds, under "Coming".</w:t>
      </w:r>
    </w:p>
    <w:p>
      <w:pPr>
        <w:pStyle w:val="Heading2"/>
        <w:bidi w:val="0"/>
        <w:ind w:hanging="0" w:left="0" w:right="0"/>
        <w:rPr/>
      </w:pPr>
      <w:bookmarkStart w:id="14" w:name="where-the-settings-are"/>
      <w:bookmarkEnd w:id="14"/>
      <w:r>
        <w:rPr/>
        <w:t>Where the Settings Are</w:t>
      </w:r>
    </w:p>
    <w:p>
      <w:pPr>
        <w:pStyle w:val="BodyText"/>
        <w:bidi w:val="0"/>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rPr/>
      </w:pPr>
      <w:r>
        <w:rPr>
          <w:rStyle w:val="SourceText"/>
        </w:rPr>
        <w:t>plugin/crew/CONFIG.md</w:t>
      </w:r>
      <w:r>
        <w:rPr/>
        <w:t xml:space="preserve"> holds the reasoning behind each setting, and ships with the plugin. </w:t>
      </w:r>
    </w:p>
    <w:p>
      <w:pPr>
        <w:pStyle w:val="BodyText"/>
        <w:bidi w:val="0"/>
        <w:spacing w:before="120" w:after="120"/>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SimSun" w:cs="Lucida 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SimSun" w:cs="Lucida Sans"/>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pPr/>
    <w:rPr>
      <w:rFonts w:cs="Lucida 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SimSun"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