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138 keys</w:t>
      </w:r>
      <w:r>
        <w:rPr/>
        <w:t>: 76 settable in the machine-global file, 62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3"/>
        <w:gridCol w:w="1193"/>
        <w:gridCol w:w="1156"/>
        <w:gridCol w:w="2104"/>
        <w:gridCol w:w="1280"/>
        <w:gridCol w:w="3465"/>
      </w:tblGrid>
      <w:tr>
        <w:trPr>
          <w:tblHeader w:val="true"/>
        </w:trPr>
        <w:tc>
          <w:tcPr>
            <w:tcW w:w="35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