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2952"/>
        <w:gridCol w:w="2196"/>
      </w:tblGrid>
      <w:tr>
        <w:trPr>
          <w:tblHeader w:val="true"/>
        </w:trPr>
        <w:tc>
          <w:tcPr>
            <w:tcW w:w="2952" w:type="dxa"/>
            <w:tcBorders/>
            <w:vAlign w:val="center"/>
          </w:tcPr>
          <w:p>
            <w:pPr>
              <w:pStyle w:val="TableHeading"/>
              <w:suppressLineNumbers/>
              <w:shd w:fill="434C5E" w:val="clear"/>
              <w:bidi w:val="0"/>
              <w:spacing w:before="120" w:after="120"/>
              <w:jc w:val="left"/>
              <w:rPr/>
            </w:pPr>
            <w:r>
              <w:rPr/>
              <w:t>Ticket status</w:t>
            </w:r>
          </w:p>
        </w:tc>
        <w:tc>
          <w:tcPr>
            <w:tcW w:w="2196" w:type="dxa"/>
            <w:tcBorders/>
            <w:vAlign w:val="center"/>
          </w:tcPr>
          <w:p>
            <w:pPr>
              <w:pStyle w:val="TableHeading"/>
              <w:suppressLineNumbers/>
              <w:shd w:fill="434C5E" w:val="clear"/>
              <w:bidi w:val="0"/>
              <w:spacing w:before="120" w:after="120"/>
              <w:jc w:val="left"/>
              <w:rPr/>
            </w:pPr>
            <w:r>
              <w:rPr/>
              <w:t>Lane (default name)</w:t>
            </w:r>
          </w:p>
        </w:tc>
      </w:tr>
      <w:tr>
        <w:trPr/>
        <w:tc>
          <w:tcPr>
            <w:tcW w:w="2952"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r>
              <w:rPr/>
              <w:t xml:space="preserve">, </w:t>
            </w:r>
            <w:r>
              <w:rPr>
                <w:rStyle w:val="SourceText"/>
              </w:rPr>
              <w:t>needs-owner</w:t>
            </w:r>
          </w:p>
        </w:tc>
        <w:tc>
          <w:tcPr>
            <w:tcW w:w="2196" w:type="dxa"/>
            <w:tcBorders/>
            <w:vAlign w:val="center"/>
          </w:tcPr>
          <w:p>
            <w:pPr>
              <w:pStyle w:val="TableContents"/>
              <w:shd w:fill="2E3440" w:val="clear"/>
              <w:bidi w:val="0"/>
              <w:spacing w:before="120" w:after="120"/>
              <w:jc w:val="left"/>
              <w:rPr/>
            </w:pPr>
            <w:r>
              <w:rPr/>
              <w:t>Backlog</w:t>
            </w:r>
          </w:p>
        </w:tc>
      </w:tr>
      <w:tr>
        <w:trPr/>
        <w:tc>
          <w:tcPr>
            <w:tcW w:w="2952"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2196" w:type="dxa"/>
            <w:tcBorders/>
            <w:vAlign w:val="center"/>
          </w:tcPr>
          <w:p>
            <w:pPr>
              <w:pStyle w:val="TableContents"/>
              <w:shd w:fill="2E3440" w:val="clear"/>
              <w:bidi w:val="0"/>
              <w:spacing w:before="120" w:after="120"/>
              <w:jc w:val="left"/>
              <w:rPr/>
            </w:pPr>
            <w:r>
              <w:rPr/>
              <w:t>Ready</w:t>
            </w:r>
          </w:p>
        </w:tc>
      </w:tr>
      <w:tr>
        <w:trPr/>
        <w:tc>
          <w:tcPr>
            <w:tcW w:w="2952" w:type="dxa"/>
            <w:tcBorders/>
            <w:vAlign w:val="center"/>
          </w:tcPr>
          <w:p>
            <w:pPr>
              <w:pStyle w:val="TableContents"/>
              <w:shd w:fill="2E3440" w:val="clear"/>
              <w:bidi w:val="0"/>
              <w:spacing w:before="120" w:after="120"/>
              <w:jc w:val="left"/>
              <w:rPr/>
            </w:pPr>
            <w:r>
              <w:rPr>
                <w:rStyle w:val="SourceText"/>
              </w:rPr>
              <w:t>in-progress</w:t>
            </w:r>
          </w:p>
        </w:tc>
        <w:tc>
          <w:tcPr>
            <w:tcW w:w="2196" w:type="dxa"/>
            <w:tcBorders/>
            <w:vAlign w:val="center"/>
          </w:tcPr>
          <w:p>
            <w:pPr>
              <w:pStyle w:val="TableContents"/>
              <w:shd w:fill="2E3440" w:val="clear"/>
              <w:bidi w:val="0"/>
              <w:spacing w:before="120" w:after="120"/>
              <w:jc w:val="left"/>
              <w:rPr/>
            </w:pPr>
            <w:r>
              <w:rPr/>
              <w:t>In Progress</w:t>
            </w:r>
          </w:p>
        </w:tc>
      </w:tr>
      <w:tr>
        <w:trPr/>
        <w:tc>
          <w:tcPr>
            <w:tcW w:w="2952" w:type="dxa"/>
            <w:tcBorders/>
            <w:vAlign w:val="center"/>
          </w:tcPr>
          <w:p>
            <w:pPr>
              <w:pStyle w:val="TableContents"/>
              <w:shd w:fill="2E3440" w:val="clear"/>
              <w:bidi w:val="0"/>
              <w:spacing w:before="120" w:after="120"/>
              <w:jc w:val="left"/>
              <w:rPr/>
            </w:pPr>
            <w:r>
              <w:rPr>
                <w:rStyle w:val="SourceText"/>
              </w:rPr>
              <w:t>review</w:t>
            </w:r>
          </w:p>
        </w:tc>
        <w:tc>
          <w:tcPr>
            <w:tcW w:w="2196" w:type="dxa"/>
            <w:tcBorders/>
            <w:vAlign w:val="center"/>
          </w:tcPr>
          <w:p>
            <w:pPr>
              <w:pStyle w:val="TableContents"/>
              <w:shd w:fill="2E3440" w:val="clear"/>
              <w:bidi w:val="0"/>
              <w:spacing w:before="120" w:after="120"/>
              <w:jc w:val="left"/>
              <w:rPr/>
            </w:pPr>
            <w:r>
              <w:rPr/>
              <w:t>Review</w:t>
            </w:r>
          </w:p>
        </w:tc>
      </w:tr>
      <w:tr>
        <w:trPr/>
        <w:tc>
          <w:tcPr>
            <w:tcW w:w="2952" w:type="dxa"/>
            <w:tcBorders/>
            <w:vAlign w:val="center"/>
          </w:tcPr>
          <w:p>
            <w:pPr>
              <w:pStyle w:val="TableContents"/>
              <w:shd w:fill="2E3440" w:val="clear"/>
              <w:bidi w:val="0"/>
              <w:spacing w:before="120" w:after="120"/>
              <w:jc w:val="left"/>
              <w:rPr/>
            </w:pPr>
            <w:r>
              <w:rPr>
                <w:rStyle w:val="SourceText"/>
              </w:rPr>
              <w:t>done</w:t>
            </w:r>
          </w:p>
        </w:tc>
        <w:tc>
          <w:tcPr>
            <w:tcW w:w="2196"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r>
        <w:trPr/>
        <w:tc>
          <w:tcPr>
            <w:tcW w:w="2952" w:type="dxa"/>
            <w:tcBorders/>
            <w:vAlign w:val="center"/>
          </w:tcPr>
          <w:p>
            <w:pPr>
              <w:pStyle w:val="TableContents"/>
              <w:shd w:fill="2E3440" w:val="clear"/>
              <w:bidi w:val="0"/>
              <w:spacing w:before="120" w:after="120"/>
              <w:jc w:val="left"/>
              <w:rPr/>
            </w:pPr>
            <w:r>
              <w:rPr>
                <w:rStyle w:val="SourceText"/>
              </w:rPr>
              <w:t>cancelled</w:t>
            </w:r>
            <w:r>
              <w:rPr/>
              <w:t xml:space="preserve">, </w:t>
            </w:r>
            <w:r>
              <w:rPr>
                <w:rStyle w:val="SourceText"/>
              </w:rPr>
              <w:t>superseded</w:t>
            </w:r>
            <w:r>
              <w:rPr/>
              <w:t xml:space="preserve"> (closed; leaving one needs </w:t>
            </w:r>
            <w:r>
              <w:rPr>
                <w:rStyle w:val="SourceText"/>
              </w:rPr>
              <w:t>--reopen</w:t>
            </w:r>
            <w:r>
              <w:rPr/>
              <w:t>)</w:t>
            </w:r>
          </w:p>
        </w:tc>
        <w:tc>
          <w:tcPr>
            <w:tcW w:w="2196" w:type="dxa"/>
            <w:tcBorders/>
            <w:vAlign w:val="center"/>
          </w:tcPr>
          <w:p>
            <w:pPr>
              <w:pStyle w:val="TableContents"/>
              <w:shd w:fill="2E3440" w:val="clear"/>
              <w:bidi w:val="0"/>
              <w:spacing w:before="120" w:after="120"/>
              <w:jc w:val="left"/>
              <w:rPr/>
            </w:pPr>
            <w:r>
              <w:rPr/>
              <w:t>Done, checked</w:t>
            </w:r>
          </w:p>
        </w:tc>
      </w:tr>
    </w:tbl>
    <w:p>
      <w:pPr>
        <w:pStyle w:val="BodyText"/>
        <w:bidi w:val="0"/>
        <w:jc w:val="left"/>
        <w:rPr/>
      </w:pPr>
      <w:r>
        <w:rPr/>
        <w:t xml:space="preserve">Any other word in an INDEX status cell maps to no lane, and crew will not guess one. Moving to it is refused, and reading the ticket says the word is not a status crew knows rather than calling the card misplaced. For a word that was retired - </w:t>
      </w:r>
      <w:r>
        <w:rPr>
          <w:rStyle w:val="SourceText"/>
        </w:rPr>
        <w:t>approved</w:t>
      </w:r>
      <w:r>
        <w:rPr/>
        <w:t xml:space="preserve">, </w:t>
      </w:r>
      <w:r>
        <w:rPr>
          <w:rStyle w:val="SourceText"/>
        </w:rPr>
        <w:t>merged</w:t>
      </w:r>
      <w:r>
        <w:rPr/>
        <w:t xml:space="preserve">, </w:t>
      </w:r>
      <w:r>
        <w:rPr>
          <w:rStyle w:val="SourceText"/>
        </w:rPr>
        <w:t>closed</w:t>
      </w:r>
      <w:r>
        <w:rPr/>
        <w:t xml:space="preserve">, </w:t>
      </w:r>
      <w:r>
        <w:rPr>
          <w:rStyle w:val="SourceText"/>
        </w:rPr>
        <w:t>new</w:t>
      </w:r>
      <w:r>
        <w:rPr/>
        <w:t xml:space="preserve">, </w:t>
      </w:r>
      <w:r>
        <w:rPr>
          <w:rStyle w:val="SourceText"/>
        </w:rPr>
        <w:t>parked</w:t>
      </w:r>
      <w:r>
        <w:rPr/>
        <w:t xml:space="preserve"> - it also names the word to write instead (</w:t>
      </w:r>
      <w:r>
        <w:rPr>
          <w:rStyle w:val="SourceText"/>
        </w:rPr>
        <w:t>spec</w:t>
      </w:r>
      <w:r>
        <w:rPr/>
        <w:t xml:space="preserve">, </w:t>
      </w:r>
      <w:r>
        <w:rPr>
          <w:rStyle w:val="SourceText"/>
        </w:rPr>
        <w:t>done</w:t>
      </w:r>
      <w:r>
        <w:rPr/>
        <w:t xml:space="preserve">, </w:t>
      </w:r>
      <w:r>
        <w:rPr>
          <w:rStyle w:val="SourceText"/>
        </w:rPr>
        <w:t>done</w:t>
      </w:r>
      <w:r>
        <w:rPr/>
        <w:t xml:space="preserve">, </w:t>
      </w:r>
      <w:r>
        <w:rPr>
          <w:rStyle w:val="SourceText"/>
        </w:rPr>
        <w:t>direction</w:t>
      </w:r>
      <w:r>
        <w:rPr/>
        <w:t xml:space="preserve">, </w:t>
      </w:r>
      <w:r>
        <w:rPr>
          <w:rStyle w:val="SourceText"/>
        </w:rPr>
        <w:t>needs-owner</w:t>
      </w:r>
      <w:r>
        <w:rPr/>
        <w:t>). Fix the INDEX cell by hand; crew never rewrites it for you.</w:t>
      </w:r>
    </w:p>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 not personal.</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5148" w:type="dxa"/>
        <w:jc w:val="left"/>
        <w:tblInd w:w="0" w:type="dxa"/>
        <w:tblLayout w:type="fixed"/>
        <w:tblCellMar>
          <w:top w:w="28" w:type="dxa"/>
          <w:left w:w="28" w:type="dxa"/>
          <w:bottom w:w="28" w:type="dxa"/>
          <w:right w:w="28" w:type="dxa"/>
        </w:tblCellMar>
      </w:tblPr>
      <w:tblGrid>
        <w:gridCol w:w="2896"/>
        <w:gridCol w:w="1500"/>
        <w:gridCol w:w="752"/>
      </w:tblGrid>
      <w:tr>
        <w:trPr>
          <w:tblHeader w:val="true"/>
        </w:trPr>
        <w:tc>
          <w:tcPr>
            <w:tcW w:w="2896" w:type="dxa"/>
            <w:tcBorders/>
            <w:vAlign w:val="center"/>
          </w:tcPr>
          <w:p>
            <w:pPr>
              <w:pStyle w:val="TableHeading"/>
              <w:suppressLineNumbers/>
              <w:shd w:fill="434C5E" w:val="clear"/>
              <w:bidi w:val="0"/>
              <w:spacing w:before="120" w:after="120"/>
              <w:jc w:val="left"/>
              <w:rPr/>
            </w:pPr>
            <w:r>
              <w:rPr/>
              <w:t>state</w:t>
            </w:r>
          </w:p>
        </w:tc>
        <w:tc>
          <w:tcPr>
            <w:tcW w:w="1500" w:type="dxa"/>
            <w:tcBorders/>
            <w:vAlign w:val="center"/>
          </w:tcPr>
          <w:p>
            <w:pPr>
              <w:pStyle w:val="TableHeading"/>
              <w:suppressLineNumbers/>
              <w:shd w:fill="434C5E" w:val="clear"/>
              <w:bidi w:val="0"/>
              <w:spacing w:before="120" w:after="120"/>
              <w:jc w:val="left"/>
              <w:rPr/>
            </w:pPr>
            <w:r>
              <w:rPr/>
              <w:t>memory file</w:t>
            </w:r>
          </w:p>
        </w:tc>
        <w:tc>
          <w:tcPr>
            <w:tcW w:w="752" w:type="dxa"/>
            <w:tcBorders/>
            <w:vAlign w:val="center"/>
          </w:tcPr>
          <w:p>
            <w:pPr>
              <w:pStyle w:val="TableHeading"/>
              <w:suppressLineNumbers/>
              <w:shd w:fill="434C5E" w:val="clear"/>
              <w:bidi w:val="0"/>
              <w:spacing w:before="120" w:after="120"/>
              <w:jc w:val="left"/>
              <w:rPr/>
            </w:pPr>
            <w:r>
              <w:rPr/>
              <w:t>exit</w:t>
            </w:r>
          </w:p>
        </w:tc>
      </w:tr>
      <w:tr>
        <w:trPr/>
        <w:tc>
          <w:tcPr>
            <w:tcW w:w="2896" w:type="dxa"/>
            <w:tcBorders/>
            <w:vAlign w:val="center"/>
          </w:tcPr>
          <w:p>
            <w:pPr>
              <w:pStyle w:val="TableContents"/>
              <w:shd w:fill="2E3440" w:val="clear"/>
              <w:bidi w:val="0"/>
              <w:spacing w:before="120" w:after="120"/>
              <w:jc w:val="left"/>
              <w:rPr/>
            </w:pPr>
            <w:r>
              <w:rPr>
                <w:rStyle w:val="SourceText"/>
              </w:rPr>
              <w:t>pointer-written</w:t>
            </w:r>
          </w:p>
        </w:tc>
        <w:tc>
          <w:tcPr>
            <w:tcW w:w="1500" w:type="dxa"/>
            <w:tcBorders/>
            <w:vAlign w:val="center"/>
          </w:tcPr>
          <w:p>
            <w:pPr>
              <w:pStyle w:val="TableContents"/>
              <w:shd w:fill="2E3440" w:val="clear"/>
              <w:bidi w:val="0"/>
              <w:spacing w:before="120" w:after="120"/>
              <w:jc w:val="left"/>
              <w:rPr/>
            </w:pPr>
            <w:r>
              <w:rPr/>
              <w:t>body replaced by the pointer</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already-pointer</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no vault configured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another save is running now</w:t>
            </w:r>
            <w:r>
              <w:rPr/>
              <w:t xml:space="preserve">, </w:t>
            </w:r>
            <w:r>
              <w:rPr>
                <w:rStyle w:val="SourceText"/>
              </w:rPr>
              <w:t>lock failed</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by the same user on the same machine do not interleave: each holds kernel locks for the note and for the memory, on files in </w:t>
      </w:r>
      <w:r>
        <w:rPr>
          <w:rStyle w:val="SourceText"/>
        </w:rPr>
        <w:t>~/.cache/crew/memory-locks</w:t>
      </w:r>
      <w:r>
        <w:rPr/>
        <w:t xml:space="preserve"> (</w:t>
      </w:r>
      <w:r>
        <w:rPr>
          <w:rStyle w:val="SourceText"/>
        </w:rPr>
        <w:t>$XDG_CACHE_HOME</w:t>
      </w:r>
      <w:r>
        <w:rPr/>
        <w:t xml:space="preserve"> when set; </w:t>
      </w:r>
      <w:r>
        <w:rPr>
          <w:rStyle w:val="SourceText"/>
        </w:rPr>
        <w:t>%LOCALAPPDATA%\crew\memory-locks</w:t>
      </w:r>
      <w:r>
        <w:rPr/>
        <w:t xml:space="preserve"> on Windows), never in the vault. The operating system drops a lock when its save exits or is killed, so </w:t>
      </w:r>
      <w:r>
        <w:rPr>
          <w:rStyle w:val="SourceText"/>
        </w:rPr>
        <w:t>another save is running now</w:t>
      </w:r>
      <w:r>
        <w:rPr/>
        <w:t xml:space="preserve"> means one is running; a lock that cannot be taken at all (an unwritable cache, a full disk, or no absolute cache folder because </w:t>
      </w:r>
      <w:r>
        <w:rPr>
          <w:rStyle w:val="SourceText"/>
        </w:rPr>
        <w:t>HOME</w:t>
      </w:r>
      <w:r>
        <w:rPr/>
        <w:t xml:space="preserve"> is unset) is </w:t>
      </w:r>
      <w:r>
        <w:rPr>
          <w:rStyle w:val="SourceText"/>
        </w:rPr>
        <w:t>lock failed</w:t>
      </w:r>
      <w:r>
        <w:rPr/>
        <w:t xml:space="preserve">. A file is locked by its real path, case-folded, and by its inode, so a symlinked folder, </w:t>
      </w:r>
      <w:r>
        <w:rPr>
          <w:rStyle w:val="SourceText"/>
        </w:rPr>
        <w:t>..</w:t>
      </w:r>
      <w:r>
        <w:rPr/>
        <w:t xml:space="preserve">, a case variant and a hard link all meet the same lock. The lock does not cover a save on another machine that syncs the same vault, or an edit by Claude Code, Obsidian or any other program, none of which take it. For those,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w:t>
      </w:r>
    </w:p>
    <w:p>
      <w:pPr>
        <w:pStyle w:val="Heading3"/>
        <w:bidi w:val="0"/>
        <w:ind w:hanging="0" w:left="0" w:right="0"/>
        <w:jc w:val="left"/>
        <w:rPr/>
      </w:pPr>
      <w:bookmarkStart w:id="13" w:name="converting-existing-memories"/>
      <w:bookmarkEnd w:id="13"/>
      <w:r>
        <w:rPr/>
        <w:t>Converting Existing Memories</w:t>
      </w:r>
    </w:p>
    <w:p>
      <w:pPr>
        <w:pStyle w:val="BodyText"/>
        <w:bidi w:val="0"/>
        <w:jc w:val="left"/>
        <w:rPr/>
      </w:pPr>
      <w:r>
        <w:rPr>
          <w:rStyle w:val="SourceText"/>
        </w:rPr>
        <w:t>migrate</w:t>
      </w:r>
      <w:r>
        <w:rPr/>
        <w:t xml:space="preserve"> runs </w:t>
      </w:r>
      <w:r>
        <w:rPr>
          <w:rStyle w:val="SourceText"/>
        </w:rPr>
        <w:t>save</w:t>
      </w:r>
      <w:r>
        <w:rPr/>
        <w:t xml:space="preserve"> over every memory in one folder. It never runs by itself, and without </w:t>
      </w:r>
      <w:r>
        <w:rPr>
          <w:rStyle w:val="SourceText"/>
        </w:rPr>
        <w:t>--apply</w:t>
      </w:r>
      <w:r>
        <w:rPr/>
        <w:t xml:space="preserve"> it writes nothing:</w:t>
      </w:r>
    </w:p>
    <w:p>
      <w:pPr>
        <w:pStyle w:val="PreformattedText"/>
        <w:bidi w:val="0"/>
        <w:jc w:val="left"/>
        <w:rPr/>
      </w:pPr>
      <w:r>
        <w:rPr>
          <w:rStyle w:val="SourceText"/>
        </w:rPr>
        <w:t>python3 plugin/crew/hooks/scripts/crew_memory.py migrate --memory-dir &lt;memory dir&gt; --tag &lt;tag&gt;</w:t>
      </w:r>
    </w:p>
    <w:p>
      <w:pPr>
        <w:pStyle w:val="PreformattedText"/>
        <w:bidi w:val="0"/>
        <w:jc w:val="left"/>
        <w:rPr/>
      </w:pPr>
      <w:r>
        <w:rPr>
          <w:rStyle w:val="SourceText"/>
        </w:rPr>
        <w:t>python3 plugin/crew/hooks/scripts/crew_memory.py migrate --memory-dir &lt;memory dir&gt; --tag &lt;tag&gt; --apply</w:t>
      </w:r>
    </w:p>
    <w:p>
      <w:pPr>
        <w:pStyle w:val="BodyText"/>
        <w:bidi w:val="0"/>
        <w:jc w:val="left"/>
        <w:rPr/>
      </w:pPr>
      <w:r>
        <w:rPr/>
        <w:t xml:space="preserve">The preview has one row per memory file, in name order; </w:t>
      </w:r>
      <w:r>
        <w:rPr>
          <w:rStyle w:val="SourceText"/>
        </w:rPr>
        <w:t>MEMORY.md</w:t>
      </w:r>
      <w:r>
        <w:rPr/>
        <w:t xml:space="preserve"> is never a row and never edited:</w:t>
      </w:r>
    </w:p>
    <w:tbl>
      <w:tblPr>
        <w:tblW w:w="5148" w:type="dxa"/>
        <w:jc w:val="left"/>
        <w:tblInd w:w="0" w:type="dxa"/>
        <w:tblLayout w:type="fixed"/>
        <w:tblCellMar>
          <w:top w:w="28" w:type="dxa"/>
          <w:left w:w="28" w:type="dxa"/>
          <w:bottom w:w="28" w:type="dxa"/>
          <w:right w:w="28" w:type="dxa"/>
        </w:tblCellMar>
      </w:tblPr>
      <w:tblGrid>
        <w:gridCol w:w="1156"/>
        <w:gridCol w:w="3992"/>
      </w:tblGrid>
      <w:tr>
        <w:trPr>
          <w:tblHeader w:val="true"/>
        </w:trPr>
        <w:tc>
          <w:tcPr>
            <w:tcW w:w="1156" w:type="dxa"/>
            <w:tcBorders/>
            <w:vAlign w:val="center"/>
          </w:tcPr>
          <w:p>
            <w:pPr>
              <w:pStyle w:val="TableHeading"/>
              <w:suppressLineNumbers/>
              <w:shd w:fill="434C5E" w:val="clear"/>
              <w:bidi w:val="0"/>
              <w:spacing w:before="120" w:after="120"/>
              <w:jc w:val="left"/>
              <w:rPr/>
            </w:pPr>
            <w:r>
              <w:rPr/>
              <w:t>action</w:t>
            </w:r>
          </w:p>
        </w:tc>
        <w:tc>
          <w:tcPr>
            <w:tcW w:w="3992" w:type="dxa"/>
            <w:tcBorders/>
            <w:vAlign w:val="center"/>
          </w:tcPr>
          <w:p>
            <w:pPr>
              <w:pStyle w:val="TableHeading"/>
              <w:suppressLineNumbers/>
              <w:shd w:fill="434C5E" w:val="clear"/>
              <w:bidi w:val="0"/>
              <w:spacing w:before="120" w:after="120"/>
              <w:jc w:val="left"/>
              <w:rPr/>
            </w:pPr>
            <w:r>
              <w:rPr/>
              <w:t>meaning</w:t>
            </w:r>
          </w:p>
        </w:tc>
      </w:tr>
      <w:tr>
        <w:trPr/>
        <w:tc>
          <w:tcPr>
            <w:tcW w:w="1156" w:type="dxa"/>
            <w:tcBorders/>
            <w:vAlign w:val="center"/>
          </w:tcPr>
          <w:p>
            <w:pPr>
              <w:pStyle w:val="TableContents"/>
              <w:shd w:fill="2E3440" w:val="clear"/>
              <w:bidi w:val="0"/>
              <w:spacing w:before="120" w:after="120"/>
              <w:jc w:val="left"/>
              <w:rPr/>
            </w:pPr>
            <w:r>
              <w:rPr>
                <w:rStyle w:val="SourceText"/>
              </w:rPr>
              <w:t>convert</w:t>
            </w:r>
          </w:p>
        </w:tc>
        <w:tc>
          <w:tcPr>
            <w:tcW w:w="3992" w:type="dxa"/>
            <w:tcBorders/>
            <w:vAlign w:val="center"/>
          </w:tcPr>
          <w:p>
            <w:pPr>
              <w:pStyle w:val="TableContents"/>
              <w:shd w:fill="2E3440" w:val="clear"/>
              <w:bidi w:val="0"/>
              <w:spacing w:before="120" w:after="120"/>
              <w:jc w:val="left"/>
              <w:rPr/>
            </w:pPr>
            <w:r>
              <w:rPr>
                <w:rStyle w:val="SourceText"/>
              </w:rPr>
              <w:t>save</w:t>
            </w:r>
            <w:r>
              <w:rPr/>
              <w:t xml:space="preserve"> would create the note shown</w:t>
            </w:r>
          </w:p>
        </w:tc>
      </w:tr>
      <w:tr>
        <w:trPr/>
        <w:tc>
          <w:tcPr>
            <w:tcW w:w="1156" w:type="dxa"/>
            <w:tcBorders/>
            <w:vAlign w:val="center"/>
          </w:tcPr>
          <w:p>
            <w:pPr>
              <w:pStyle w:val="TableContents"/>
              <w:shd w:fill="2E3440" w:val="clear"/>
              <w:bidi w:val="0"/>
              <w:spacing w:before="120" w:after="120"/>
              <w:jc w:val="left"/>
              <w:rPr/>
            </w:pPr>
            <w:r>
              <w:rPr>
                <w:rStyle w:val="SourceText"/>
              </w:rPr>
              <w:t>append</w:t>
            </w:r>
          </w:p>
        </w:tc>
        <w:tc>
          <w:tcPr>
            <w:tcW w:w="3992" w:type="dxa"/>
            <w:tcBorders/>
            <w:vAlign w:val="center"/>
          </w:tcPr>
          <w:p>
            <w:pPr>
              <w:pStyle w:val="TableContents"/>
              <w:shd w:fill="2E3440" w:val="clear"/>
              <w:bidi w:val="0"/>
              <w:spacing w:before="120" w:after="120"/>
              <w:jc w:val="left"/>
              <w:rPr/>
            </w:pPr>
            <w:r>
              <w:rPr/>
              <w:t xml:space="preserve">a note with this </w:t>
            </w:r>
            <w:r>
              <w:rPr>
                <w:rStyle w:val="SourceText"/>
              </w:rPr>
              <w:t>memory_id</w:t>
            </w:r>
            <w:r>
              <w:rPr/>
              <w:t xml:space="preserve"> already exists; </w:t>
            </w:r>
            <w:r>
              <w:rPr>
                <w:rStyle w:val="SourceText"/>
              </w:rPr>
              <w:t>save</w:t>
            </w:r>
            <w:r>
              <w:rPr/>
              <w:t xml:space="preserve"> would add to it</w:t>
            </w:r>
          </w:p>
        </w:tc>
      </w:tr>
      <w:tr>
        <w:trPr/>
        <w:tc>
          <w:tcPr>
            <w:tcW w:w="1156" w:type="dxa"/>
            <w:tcBorders/>
            <w:vAlign w:val="center"/>
          </w:tcPr>
          <w:p>
            <w:pPr>
              <w:pStyle w:val="TableContents"/>
              <w:shd w:fill="2E3440" w:val="clear"/>
              <w:bidi w:val="0"/>
              <w:spacing w:before="120" w:after="120"/>
              <w:jc w:val="left"/>
              <w:rPr/>
            </w:pPr>
            <w:r>
              <w:rPr>
                <w:rStyle w:val="SourceText"/>
              </w:rPr>
              <w:t>skip: already a pointer</w:t>
            </w:r>
          </w:p>
        </w:tc>
        <w:tc>
          <w:tcPr>
            <w:tcW w:w="3992" w:type="dxa"/>
            <w:tcBorders/>
            <w:vAlign w:val="center"/>
          </w:tcPr>
          <w:p>
            <w:pPr>
              <w:pStyle w:val="TableContents"/>
              <w:shd w:fill="2E3440" w:val="clear"/>
              <w:bidi w:val="0"/>
              <w:spacing w:before="120" w:after="120"/>
              <w:jc w:val="left"/>
              <w:rPr/>
            </w:pPr>
            <w:r>
              <w:rPr/>
              <w:t>nothing to do</w:t>
            </w:r>
          </w:p>
        </w:tc>
      </w:tr>
      <w:tr>
        <w:trPr/>
        <w:tc>
          <w:tcPr>
            <w:tcW w:w="1156" w:type="dxa"/>
            <w:tcBorders/>
            <w:vAlign w:val="center"/>
          </w:tcPr>
          <w:p>
            <w:pPr>
              <w:pStyle w:val="TableContents"/>
              <w:shd w:fill="2E3440" w:val="clear"/>
              <w:bidi w:val="0"/>
              <w:spacing w:before="120" w:after="120"/>
              <w:jc w:val="left"/>
              <w:rPr/>
            </w:pPr>
            <w:r>
              <w:rPr>
                <w:rStyle w:val="SourceText"/>
              </w:rPr>
              <w:t>skip: &lt;state&gt;</w:t>
            </w:r>
          </w:p>
        </w:tc>
        <w:tc>
          <w:tcPr>
            <w:tcW w:w="3992" w:type="dxa"/>
            <w:tcBorders/>
            <w:vAlign w:val="center"/>
          </w:tcPr>
          <w:p>
            <w:pPr>
              <w:pStyle w:val="TableContents"/>
              <w:shd w:fill="2E3440" w:val="clear"/>
              <w:bidi w:val="0"/>
              <w:spacing w:before="120" w:after="120"/>
              <w:jc w:val="left"/>
              <w:rPr/>
            </w:pPr>
            <w:r>
              <w:rPr/>
              <w:t xml:space="preserve">a pointer that does not resolve, or a </w:t>
            </w:r>
            <w:r>
              <w:rPr>
                <w:rStyle w:val="SourceText"/>
              </w:rPr>
              <w:t>malformed</w:t>
            </w:r>
            <w:r>
              <w:rPr/>
              <w:t xml:space="preserve"> one</w:t>
            </w:r>
          </w:p>
        </w:tc>
      </w:tr>
      <w:tr>
        <w:trPr/>
        <w:tc>
          <w:tcPr>
            <w:tcW w:w="1156" w:type="dxa"/>
            <w:tcBorders/>
            <w:vAlign w:val="center"/>
          </w:tcPr>
          <w:p>
            <w:pPr>
              <w:pStyle w:val="TableContents"/>
              <w:shd w:fill="2E3440" w:val="clear"/>
              <w:bidi w:val="0"/>
              <w:spacing w:before="120" w:after="120"/>
              <w:jc w:val="left"/>
              <w:rPr/>
            </w:pPr>
            <w:r>
              <w:rPr>
                <w:rStyle w:val="SourceText"/>
              </w:rPr>
              <w:t>refuse: &lt;reason&gt;</w:t>
            </w:r>
          </w:p>
        </w:tc>
        <w:tc>
          <w:tcPr>
            <w:tcW w:w="3992" w:type="dxa"/>
            <w:tcBorders/>
            <w:vAlign w:val="center"/>
          </w:tcPr>
          <w:p>
            <w:pPr>
              <w:pStyle w:val="TableContents"/>
              <w:shd w:fill="2E3440" w:val="clear"/>
              <w:bidi w:val="0"/>
              <w:spacing w:before="120" w:after="120"/>
              <w:jc w:val="left"/>
              <w:rPr/>
            </w:pPr>
            <w:r>
              <w:rPr/>
              <w:t xml:space="preserve">anything </w:t>
            </w:r>
            <w:r>
              <w:rPr>
                <w:rStyle w:val="SourceText"/>
              </w:rPr>
              <w:t>save</w:t>
            </w:r>
            <w:r>
              <w:rPr/>
              <w:t xml:space="preserve"> refuses, a title that is not a portable file name (</w:t>
            </w:r>
            <w:r>
              <w:rPr>
                <w:rStyle w:val="SourceText"/>
              </w:rPr>
              <w:t>: ? * &lt; &gt; \| " \</w:t>
            </w:r>
            <w:r>
              <w:rPr/>
              <w:t xml:space="preserve">, a trailing dot or space, a device name such as </w:t>
            </w:r>
            <w:r>
              <w:rPr>
                <w:rStyle w:val="SourceText"/>
              </w:rPr>
              <w:t>CON</w:t>
            </w:r>
            <w:r>
              <w:rPr/>
              <w:t>), two files that would write one note (</w:t>
            </w:r>
            <w:r>
              <w:rPr>
                <w:rStyle w:val="SourceText"/>
              </w:rPr>
              <w:t>duplicate note path</w:t>
            </w:r>
            <w:r>
              <w:rPr/>
              <w:t>), a note that belongs to another project (</w:t>
            </w:r>
            <w:r>
              <w:rPr>
                <w:rStyle w:val="SourceText"/>
              </w:rPr>
              <w:t>note belongs to another project</w:t>
            </w:r>
            <w:r>
              <w:rPr/>
              <w:t>), or a folder named like a memory (</w:t>
            </w:r>
            <w:r>
              <w:rPr>
                <w:rStyle w:val="SourceText"/>
              </w:rPr>
              <w:t>not a file</w:t>
            </w:r>
            <w:r>
              <w:rPr/>
              <w:t>)</w:t>
            </w:r>
          </w:p>
        </w:tc>
      </w:tr>
    </w:tbl>
    <w:p>
      <w:pPr>
        <w:pStyle w:val="BodyText"/>
        <w:bidi w:val="0"/>
        <w:jc w:val="left"/>
        <w:rPr/>
      </w:pPr>
      <w:r>
        <w:rPr/>
        <w:t xml:space="preserve">With </w:t>
      </w:r>
      <w:r>
        <w:rPr>
          <w:rStyle w:val="SourceText"/>
        </w:rPr>
        <w:t>--apply</w:t>
      </w:r>
      <w:r>
        <w:rPr/>
        <w:t xml:space="preserve">, each </w:t>
      </w:r>
      <w:r>
        <w:rPr>
          <w:rStyle w:val="SourceText"/>
        </w:rPr>
        <w:t>convert</w:t>
      </w:r>
      <w:r>
        <w:rPr/>
        <w:t xml:space="preserve"> and </w:t>
      </w:r>
      <w:r>
        <w:rPr>
          <w:rStyle w:val="SourceText"/>
        </w:rPr>
        <w:t>append</w:t>
      </w:r>
      <w:r>
        <w:rPr/>
        <w:t xml:space="preserve"> row is saved one file at a time. A file whose save fails is shown as </w:t>
      </w:r>
      <w:r>
        <w:rPr>
          <w:rStyle w:val="SourceText"/>
        </w:rPr>
        <w:t>failed</w:t>
      </w:r>
      <w:r>
        <w:rPr/>
        <w:t xml:space="preserve"> with </w:t>
      </w:r>
      <w:r>
        <w:rPr>
          <w:rStyle w:val="SourceText"/>
        </w:rPr>
        <w:t>save</w:t>
      </w:r>
      <w:r>
        <w:rPr/>
        <w:t xml:space="preserve">'s </w:t>
      </w:r>
      <w:r>
        <w:rPr>
          <w:rStyle w:val="SourceText"/>
        </w:rPr>
        <w:t>kept-full-text</w:t>
      </w:r>
      <w:r>
        <w:rPr/>
        <w:t xml:space="preserve"> reason, and the others still go ahead. One </w:t>
      </w:r>
      <w:r>
        <w:rPr>
          <w:rStyle w:val="SourceText"/>
        </w:rPr>
        <w:t>--tag</w:t>
      </w:r>
      <w:r>
        <w:rPr/>
        <w:t xml:space="preserve"> set covers the run; use </w:t>
      </w:r>
      <w:r>
        <w:rPr>
          <w:rStyle w:val="SourceText"/>
        </w:rPr>
        <w:t>--only &lt;file name&gt;</w:t>
      </w:r>
      <w:r>
        <w:rPr/>
        <w:t xml:space="preserve"> to run batches with different tags. </w:t>
      </w:r>
      <w:r>
        <w:rPr>
          <w:rStyle w:val="SourceText"/>
        </w:rPr>
        <w:t>--note-dir</w:t>
      </w:r>
      <w:r>
        <w:rPr/>
        <w:t xml:space="preserve">, </w:t>
      </w:r>
      <w:r>
        <w:rPr>
          <w:rStyle w:val="SourceText"/>
        </w:rPr>
        <w:t>--type</w:t>
      </w:r>
      <w:r>
        <w:rPr/>
        <w:t xml:space="preserve"> and </w:t>
      </w:r>
      <w:r>
        <w:rPr>
          <w:rStyle w:val="SourceText"/>
        </w:rPr>
        <w:t>--project</w:t>
      </w:r>
      <w:r>
        <w:rPr/>
        <w:t xml:space="preserve"> work as they do for </w:t>
      </w:r>
      <w:r>
        <w:rPr>
          <w:rStyle w:val="SourceText"/>
        </w:rPr>
        <w:t>save</w:t>
      </w:r>
      <w:r>
        <w:rPr/>
        <w:t xml:space="preserve">; without </w:t>
      </w:r>
      <w:r>
        <w:rPr>
          <w:rStyle w:val="SourceText"/>
        </w:rPr>
        <w:t>--project</w:t>
      </w:r>
      <w:r>
        <w:rPr/>
        <w:t xml:space="preserve">, a folder </w:t>
      </w:r>
      <w:r>
        <w:rPr>
          <w:rStyle w:val="SourceText"/>
        </w:rPr>
        <w:t>~/.claude/projects/&lt;slug&gt;/memory</w:t>
      </w:r>
      <w:r>
        <w:rPr/>
        <w:t xml:space="preserve"> uses </w:t>
      </w:r>
      <w:r>
        <w:rPr>
          <w:rStyle w:val="SourceText"/>
        </w:rPr>
        <w:t>&lt;slug&gt;</w:t>
      </w:r>
      <w:r>
        <w:rPr/>
        <w:t xml:space="preserve"> as the project, so two projects' memories never land in one note. Nothing is recorded between runs, so running it again converts nothing twice.</w:t>
      </w:r>
    </w:p>
    <w:p>
      <w:pPr>
        <w:pStyle w:val="BodyText"/>
        <w:bidi w:val="0"/>
        <w:jc w:val="left"/>
        <w:rPr/>
      </w:pPr>
      <w:r>
        <w:rPr>
          <w:rStyle w:val="SourceText"/>
        </w:rPr>
        <w:t>restore</w:t>
      </w:r>
      <w:r>
        <w:rPr/>
        <w:t xml:space="preserve"> is the way back for one memory:</w:t>
      </w:r>
    </w:p>
    <w:p>
      <w:pPr>
        <w:pStyle w:val="PreformattedText"/>
        <w:bidi w:val="0"/>
        <w:jc w:val="left"/>
        <w:rPr/>
      </w:pPr>
      <w:r>
        <w:rPr>
          <w:rStyle w:val="SourceText"/>
        </w:rPr>
        <w:t>python3 plugin/crew/hooks/scripts/crew_memory.py restore --file &lt;memory file&gt; --apply</w:t>
      </w:r>
    </w:p>
    <w:p>
      <w:pPr>
        <w:pStyle w:val="BodyText"/>
        <w:bidi w:val="0"/>
        <w:jc w:val="left"/>
        <w:rPr/>
      </w:pPr>
      <w:r>
        <w:rPr/>
        <w:t xml:space="preserve">It puts the note's text back as the memory's body (frontmatter kept) and leaves the note alone. Without </w:t>
      </w:r>
      <w:r>
        <w:rPr>
          <w:rStyle w:val="SourceText"/>
        </w:rPr>
        <w:t>--apply</w:t>
      </w:r>
      <w:r>
        <w:rPr/>
        <w:t xml:space="preserve"> it shows the first line and the line count. A pointer that does not resolve is reported and nothing is written.</w:t>
      </w:r>
    </w:p>
    <w:p>
      <w:pPr>
        <w:pStyle w:val="Heading2"/>
        <w:bidi w:val="0"/>
        <w:ind w:hanging="0" w:left="0" w:right="0"/>
        <w:jc w:val="left"/>
        <w:rPr/>
      </w:pPr>
      <w:bookmarkStart w:id="14" w:name="confirming-recall-reaches-your-sessions"/>
      <w:bookmarkEnd w:id="14"/>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5" w:name="path-scoped-rules-from-the-code-map"/>
      <w:bookmarkEnd w:id="15"/>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6" w:name="confirming-recall-reaches-your-sessions_"/>
      <w:bookmarkEnd w:id="16"/>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7" w:name="which-channel-reaches-which-agent"/>
      <w:bookmarkEnd w:id="17"/>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8" w:name="where-recall-comes-from"/>
      <w:bookmarkEnd w:id="18"/>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spacing w:before="120" w:after="0"/>
        <w:ind w:hanging="283" w:left="829"/>
        <w:jc w:val="left"/>
        <w:rPr/>
      </w:pPr>
      <w:r>
        <w:rPr/>
        <w:t xml:space="preserve">An empty recall can be the CLI working as meant: it skips stop words, needs more than one matching word for a query of three or more words, matches whole words only, and never reads </w:t>
      </w:r>
      <w:r>
        <w:rPr>
          <w:rStyle w:val="SourceText"/>
        </w:rPr>
        <w:t>wiki/sessions/archive/</w:t>
      </w:r>
      <w:r>
        <w:rPr/>
        <w:t xml:space="preserve">. To check whether a note is there but held back, run the CLI with </w:t>
      </w:r>
      <w:r>
        <w:rPr>
          <w:rStyle w:val="SourceText"/>
        </w:rPr>
        <w:t>--min-terms 1</w:t>
      </w:r>
      <w:r>
        <w:rPr/>
        <w:t xml:space="preserve"> (no floor) and </w:t>
      </w:r>
      <w:r>
        <w:rPr>
          <w:rStyle w:val="SourceText"/>
        </w:rPr>
        <w:t>--include-excluded</w:t>
      </w:r>
      <w:r>
        <w:rPr/>
        <w:t xml:space="preserve"> (the archive too).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9" w:name="the-seeded-note-proof"/>
      <w:bookmarkEnd w:id="19"/>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20" w:name="measured-against-the-real-vault_opspy-re"/>
      <w:bookmarkEnd w:id="20"/>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1" w:name="reading-stats"/>
      <w:bookmarkEnd w:id="21"/>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