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35"/>
        <w:gridCol w:w="3784"/>
        <w:gridCol w:w="6120"/>
      </w:tblGrid>
      <w:tr>
        <w:trPr>
          <w:tblHeader w:val="true"/>
        </w:trPr>
        <w:tc>
          <w:tcPr>
            <w:tcW w:w="1435" w:type="dxa"/>
            <w:tcBorders/>
            <w:vAlign w:val="center"/>
          </w:tcPr>
          <w:p>
            <w:pPr>
              <w:pStyle w:val="TableHeading"/>
              <w:suppressLineNumbers/>
              <w:shd w:fill="434C5E" w:val="clear"/>
              <w:bidi w:val="0"/>
              <w:spacing w:before="120" w:after="120"/>
              <w:jc w:val="left"/>
              <w:rPr/>
            </w:pPr>
            <w:r>
              <w:rPr/>
              <w:t>When</w:t>
            </w:r>
          </w:p>
        </w:tc>
        <w:tc>
          <w:tcPr>
            <w:tcW w:w="3784" w:type="dxa"/>
            <w:tcBorders/>
            <w:vAlign w:val="center"/>
          </w:tcPr>
          <w:p>
            <w:pPr>
              <w:pStyle w:val="TableHeading"/>
              <w:suppressLineNumbers/>
              <w:shd w:fill="434C5E" w:val="clear"/>
              <w:bidi w:val="0"/>
              <w:spacing w:before="120" w:after="120"/>
              <w:jc w:val="left"/>
              <w:rPr/>
            </w:pPr>
            <w:r>
              <w:rPr/>
              <w:t>Hook</w:t>
            </w:r>
          </w:p>
        </w:tc>
        <w:tc>
          <w:tcPr>
            <w:tcW w:w="6120" w:type="dxa"/>
            <w:tcBorders/>
            <w:vAlign w:val="center"/>
          </w:tcPr>
          <w:p>
            <w:pPr>
              <w:pStyle w:val="TableHeading"/>
              <w:suppressLineNumbers/>
              <w:shd w:fill="434C5E" w:val="clear"/>
              <w:bidi w:val="0"/>
              <w:spacing w:before="120" w:after="120"/>
              <w:jc w:val="left"/>
              <w:rPr/>
            </w:pPr>
            <w:r>
              <w:rPr/>
              <w:t>Does</w:t>
            </w:r>
          </w:p>
        </w:tc>
      </w:tr>
      <w:tr>
        <w:trPr/>
        <w:tc>
          <w:tcPr>
            <w:tcW w:w="1435" w:type="dxa"/>
            <w:tcBorders/>
            <w:vAlign w:val="center"/>
          </w:tcPr>
          <w:p>
            <w:pPr>
              <w:pStyle w:val="TableContents"/>
              <w:shd w:fill="2E3440" w:val="clear"/>
              <w:bidi w:val="0"/>
              <w:spacing w:before="120" w:after="120"/>
              <w:jc w:val="left"/>
              <w:rPr/>
            </w:pPr>
            <w:r>
              <w:rPr/>
              <w:t>Every write</w:t>
            </w:r>
          </w:p>
        </w:tc>
        <w:tc>
          <w:tcPr>
            <w:tcW w:w="3784"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2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35" w:type="dxa"/>
            <w:tcBorders/>
            <w:vAlign w:val="center"/>
          </w:tcPr>
          <w:p>
            <w:pPr>
              <w:pStyle w:val="TableContents"/>
              <w:shd w:fill="2E3440" w:val="clear"/>
              <w:bidi w:val="0"/>
              <w:spacing w:before="120" w:after="120"/>
              <w:jc w:val="left"/>
              <w:rPr/>
            </w:pPr>
            <w:r>
              <w:rPr/>
              <w:t>End of turn</w:t>
            </w:r>
          </w:p>
        </w:tc>
        <w:tc>
          <w:tcPr>
            <w:tcW w:w="3784"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20" w:type="dxa"/>
            <w:tcBorders/>
            <w:vAlign w:val="center"/>
          </w:tcPr>
          <w:p>
            <w:pPr>
              <w:pStyle w:val="TableContents"/>
              <w:shd w:fill="2E3440" w:val="clear"/>
              <w:bidi w:val="0"/>
              <w:spacing w:before="120" w:after="120"/>
              <w:jc w:val="left"/>
              <w:rPr/>
            </w:pPr>
            <w:r>
              <w:rPr/>
              <w:t>refuses to end the turn on a red check</w:t>
            </w:r>
          </w:p>
        </w:tc>
      </w:tr>
      <w:tr>
        <w:trPr/>
        <w:tc>
          <w:tcPr>
            <w:tcW w:w="1435" w:type="dxa"/>
            <w:tcBorders/>
            <w:vAlign w:val="center"/>
          </w:tcPr>
          <w:p>
            <w:pPr>
              <w:pStyle w:val="TableContents"/>
              <w:shd w:fill="2E3440" w:val="clear"/>
              <w:bidi w:val="0"/>
              <w:spacing w:before="120" w:after="120"/>
              <w:jc w:val="left"/>
              <w:rPr/>
            </w:pPr>
            <w:r>
              <w:rPr/>
              <w:t>End of turn</w:t>
            </w:r>
          </w:p>
        </w:tc>
        <w:tc>
          <w:tcPr>
            <w:tcW w:w="3784"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2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35" w:type="dxa"/>
            <w:tcBorders/>
            <w:vAlign w:val="center"/>
          </w:tcPr>
          <w:p>
            <w:pPr>
              <w:pStyle w:val="TableContents"/>
              <w:shd w:fill="2E3440" w:val="clear"/>
              <w:bidi w:val="0"/>
              <w:spacing w:before="120" w:after="120"/>
              <w:jc w:val="left"/>
              <w:rPr/>
            </w:pPr>
            <w:r>
              <w:rPr/>
              <w:t>Session start</w:t>
            </w:r>
          </w:p>
        </w:tc>
        <w:tc>
          <w:tcPr>
            <w:tcW w:w="3784" w:type="dxa"/>
            <w:tcBorders/>
            <w:vAlign w:val="center"/>
          </w:tcPr>
          <w:p>
            <w:pPr>
              <w:pStyle w:val="TableContents"/>
              <w:shd w:fill="2E3440" w:val="clear"/>
              <w:bidi w:val="0"/>
              <w:spacing w:before="120" w:after="120"/>
              <w:jc w:val="left"/>
              <w:rPr/>
            </w:pPr>
            <w:r>
              <w:rPr/>
              <w:t>context</w:t>
            </w:r>
          </w:p>
        </w:tc>
        <w:tc>
          <w:tcPr>
            <w:tcW w:w="612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contracts-between-two-sessions"/>
      <w:bookmarkEnd w:id="5"/>
      <w:r>
        <w:rPr/>
        <w:t>Contracts Between Two Sessions</w:t>
      </w:r>
    </w:p>
    <w:p>
      <w:pPr>
        <w:pStyle w:val="BodyText"/>
        <w:bidi w:val="0"/>
        <w:jc w:val="left"/>
        <w:rPr/>
      </w:pPr>
      <w:r>
        <w:rPr/>
        <w:t>When two sessions build against each other (a service and its client, two repositories sharing a format), the interface goes on the coordination channel the claims use, as a numbered version with a content hash:</w:t>
      </w:r>
    </w:p>
    <w:p>
      <w:pPr>
        <w:pStyle w:val="BodyText"/>
        <w:numPr>
          <w:ilvl w:val="0"/>
          <w:numId w:val="3"/>
        </w:numPr>
        <w:tabs>
          <w:tab w:val="clear" w:pos="1134"/>
          <w:tab w:val="left" w:pos="829" w:leader="none"/>
        </w:tabs>
        <w:bidi w:val="0"/>
        <w:spacing w:before="120" w:after="0"/>
        <w:ind w:hanging="283" w:left="829"/>
        <w:jc w:val="left"/>
        <w:rPr/>
      </w:pPr>
      <w:r>
        <w:rPr/>
        <w:t xml:space="preserve">One side writes the draft: </w:t>
      </w:r>
      <w:r>
        <w:rPr>
          <w:rStyle w:val="SourceText"/>
        </w:rPr>
        <w:t>crew_contract.py put --name &lt;n&gt; --file &lt;path&gt;</w:t>
      </w:r>
      <w:r>
        <w:rPr/>
        <w:t xml:space="preserve">. While it is a draft, </w:t>
      </w:r>
      <w:r>
        <w:rPr>
          <w:rStyle w:val="SourceText"/>
        </w:rPr>
        <w:t>put</w:t>
      </w:r>
      <w:r>
        <w:rPr/>
        <w:t xml:space="preserve"> replaces it in place. </w:t>
      </w:r>
    </w:p>
    <w:p>
      <w:pPr>
        <w:pStyle w:val="BodyText"/>
        <w:numPr>
          <w:ilvl w:val="0"/>
          <w:numId w:val="3"/>
        </w:numPr>
        <w:tabs>
          <w:tab w:val="clear" w:pos="1134"/>
          <w:tab w:val="left" w:pos="829" w:leader="none"/>
        </w:tabs>
        <w:bidi w:val="0"/>
        <w:spacing w:before="120" w:after="0"/>
        <w:ind w:hanging="283" w:left="829"/>
        <w:jc w:val="left"/>
        <w:rPr/>
      </w:pPr>
      <w:r>
        <w:rPr/>
        <w:t xml:space="preserve">Each side, once its ticket is approved, records what it built against: </w:t>
      </w:r>
      <w:r>
        <w:rPr>
          <w:rStyle w:val="SourceText"/>
        </w:rPr>
        <w:t>crew_contract.py build-against --name &lt;n&gt; --version &lt;N&gt; --ticket &lt;id&gt;</w:t>
      </w:r>
      <w:r>
        <w:rPr/>
        <w:t xml:space="preserve">. That freezes the version and writes the binding to </w:t>
      </w:r>
      <w:r>
        <w:rPr>
          <w:rStyle w:val="SourceText"/>
        </w:rPr>
        <w:t>.work/tickets/&lt;id&gt;/contracts.json</w:t>
      </w:r>
      <w:r>
        <w:rPr/>
        <w:t xml:space="preserve">. </w:t>
      </w:r>
    </w:p>
    <w:p>
      <w:pPr>
        <w:pStyle w:val="BodyText"/>
        <w:numPr>
          <w:ilvl w:val="0"/>
          <w:numId w:val="3"/>
        </w:numPr>
        <w:tabs>
          <w:tab w:val="clear" w:pos="1134"/>
          <w:tab w:val="left" w:pos="829" w:leader="none"/>
        </w:tabs>
        <w:bidi w:val="0"/>
        <w:ind w:hanging="283" w:left="829"/>
        <w:jc w:val="left"/>
        <w:rPr/>
      </w:pPr>
      <w:r>
        <w:rPr/>
        <w:t xml:space="preserve">A frozen version is never edited. A change is a new version tied to a new ticket on each side: </w:t>
      </w:r>
      <w:r>
        <w:rPr>
          <w:rStyle w:val="SourceText"/>
        </w:rPr>
        <w:t>put --name &lt;n&gt; --file &lt;path&gt; --new-version --ticket &lt;new id&gt;</w:t>
      </w:r>
      <w:r>
        <w:rPr/>
        <w:t xml:space="preserve">. </w:t>
      </w:r>
    </w:p>
    <w:p>
      <w:pPr>
        <w:pStyle w:val="BodyText"/>
        <w:bidi w:val="0"/>
        <w:jc w:val="left"/>
        <w:rPr/>
      </w:pPr>
      <w:r>
        <w:rPr>
          <w:rStyle w:val="SourceText"/>
        </w:rPr>
        <w:t>crew_contract.py status</w:t>
      </w:r>
      <w:r>
        <w:rPr/>
        <w:t xml:space="preserve"> lists every version, who built against it and anything it cannot read (</w:t>
      </w:r>
      <w:r>
        <w:rPr>
          <w:rStyle w:val="SourceText"/>
        </w:rPr>
        <w:t>unknown</w:t>
      </w:r>
      <w:r>
        <w:rPr/>
        <w:t>, never skipped). Everything on the channel is peer-written data; see the plugin README's "Versioned contracts".</w:t>
      </w:r>
    </w:p>
    <w:p>
      <w:pPr>
        <w:pStyle w:val="Heading2"/>
        <w:bidi w:val="0"/>
        <w:ind w:hanging="0" w:left="0" w:right="0"/>
        <w:jc w:val="left"/>
        <w:rPr/>
      </w:pPr>
      <w:bookmarkStart w:id="6" w:name="if-something-refuses"/>
      <w:bookmarkEnd w:id="6"/>
      <w:r>
        <w:rPr/>
        <w:t>If Something Refuses</w:t>
      </w:r>
    </w:p>
    <w:tbl>
      <w:tblPr>
        <w:tblW w:w="11339" w:type="dxa"/>
        <w:jc w:val="left"/>
        <w:tblInd w:w="0" w:type="dxa"/>
        <w:tblLayout w:type="fixed"/>
        <w:tblCellMar>
          <w:top w:w="28" w:type="dxa"/>
          <w:left w:w="28" w:type="dxa"/>
          <w:bottom w:w="28" w:type="dxa"/>
          <w:right w:w="28" w:type="dxa"/>
        </w:tblCellMar>
      </w:tblPr>
      <w:tblGrid>
        <w:gridCol w:w="4189"/>
        <w:gridCol w:w="2776"/>
        <w:gridCol w:w="4374"/>
      </w:tblGrid>
      <w:tr>
        <w:trPr>
          <w:tblHeader w:val="true"/>
        </w:trPr>
        <w:tc>
          <w:tcPr>
            <w:tcW w:w="4189" w:type="dxa"/>
            <w:tcBorders/>
            <w:vAlign w:val="center"/>
          </w:tcPr>
          <w:p>
            <w:pPr>
              <w:pStyle w:val="TableHeading"/>
              <w:suppressLineNumbers/>
              <w:shd w:fill="434C5E" w:val="clear"/>
              <w:bidi w:val="0"/>
              <w:spacing w:before="120" w:after="120"/>
              <w:jc w:val="left"/>
              <w:rPr/>
            </w:pPr>
            <w:r>
              <w:rPr/>
              <w:t>Refusal</w:t>
            </w:r>
          </w:p>
        </w:tc>
        <w:tc>
          <w:tcPr>
            <w:tcW w:w="2776" w:type="dxa"/>
            <w:tcBorders/>
            <w:vAlign w:val="center"/>
          </w:tcPr>
          <w:p>
            <w:pPr>
              <w:pStyle w:val="TableHeading"/>
              <w:suppressLineNumbers/>
              <w:shd w:fill="434C5E" w:val="clear"/>
              <w:bidi w:val="0"/>
              <w:spacing w:before="120" w:after="120"/>
              <w:jc w:val="left"/>
              <w:rPr/>
            </w:pPr>
            <w:r>
              <w:rPr/>
              <w:t>Means</w:t>
            </w:r>
          </w:p>
        </w:tc>
        <w:tc>
          <w:tcPr>
            <w:tcW w:w="4374" w:type="dxa"/>
            <w:tcBorders/>
            <w:vAlign w:val="center"/>
          </w:tcPr>
          <w:p>
            <w:pPr>
              <w:pStyle w:val="TableHeading"/>
              <w:suppressLineNumbers/>
              <w:shd w:fill="434C5E" w:val="clear"/>
              <w:bidi w:val="0"/>
              <w:spacing w:before="120" w:after="120"/>
              <w:jc w:val="left"/>
              <w:rPr/>
            </w:pPr>
            <w:r>
              <w:rPr/>
              <w:t>Do</w:t>
            </w:r>
          </w:p>
        </w:tc>
      </w:tr>
      <w:tr>
        <w:trPr/>
        <w:tc>
          <w:tcPr>
            <w:tcW w:w="418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776"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7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89" w:type="dxa"/>
            <w:tcBorders/>
            <w:vAlign w:val="center"/>
          </w:tcPr>
          <w:p>
            <w:pPr>
              <w:pStyle w:val="TableContents"/>
              <w:shd w:fill="2E3440" w:val="clear"/>
              <w:bidi w:val="0"/>
              <w:spacing w:before="120" w:after="120"/>
              <w:jc w:val="left"/>
              <w:rPr/>
            </w:pPr>
            <w:r>
              <w:rPr/>
              <w:t>a write is blocked outside Touch</w:t>
            </w:r>
          </w:p>
        </w:tc>
        <w:tc>
          <w:tcPr>
            <w:tcW w:w="2776" w:type="dxa"/>
            <w:tcBorders/>
            <w:vAlign w:val="center"/>
          </w:tcPr>
          <w:p>
            <w:pPr>
              <w:pStyle w:val="TableContents"/>
              <w:shd w:fill="2E3440" w:val="clear"/>
              <w:bidi w:val="0"/>
              <w:spacing w:before="120" w:after="120"/>
              <w:jc w:val="left"/>
              <w:rPr/>
            </w:pPr>
            <w:r>
              <w:rPr/>
              <w:t>the file isn't in the spec's declared scope</w:t>
            </w:r>
          </w:p>
        </w:tc>
        <w:tc>
          <w:tcPr>
            <w:tcW w:w="437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8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776"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7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8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776" w:type="dxa"/>
            <w:tcBorders/>
            <w:vAlign w:val="center"/>
          </w:tcPr>
          <w:p>
            <w:pPr>
              <w:pStyle w:val="TableContents"/>
              <w:shd w:fill="2E3440" w:val="clear"/>
              <w:bidi w:val="0"/>
              <w:spacing w:before="120" w:after="120"/>
              <w:jc w:val="left"/>
              <w:rPr/>
            </w:pPr>
            <w:r>
              <w:rPr/>
              <w:t>the review budget (two rounds) is spent</w:t>
            </w:r>
          </w:p>
        </w:tc>
        <w:tc>
          <w:tcPr>
            <w:tcW w:w="437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8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776"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37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8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776" w:type="dxa"/>
            <w:tcBorders/>
            <w:vAlign w:val="center"/>
          </w:tcPr>
          <w:p>
            <w:pPr>
              <w:pStyle w:val="TableContents"/>
              <w:shd w:fill="2E3440" w:val="clear"/>
              <w:bidi w:val="0"/>
              <w:spacing w:before="120" w:after="120"/>
              <w:jc w:val="left"/>
              <w:rPr/>
            </w:pPr>
            <w:r>
              <w:rPr/>
              <w:t>a path outside scope changed, including one a shell command wrote</w:t>
            </w:r>
          </w:p>
        </w:tc>
        <w:tc>
          <w:tcPr>
            <w:tcW w:w="437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7" w:name="scope-and-approval"/>
      <w:bookmarkEnd w:id="7"/>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8" w:name="the-contract"/>
      <w:bookmarkEnd w:id="8"/>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4"/>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5"/>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5"/>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9" w:name="approval"/>
      <w:bookmarkEnd w:id="9"/>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6"/>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6"/>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6"/>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0" w:name="while-you-implement-the-scope-guard"/>
      <w:bookmarkEnd w:id="10"/>
      <w:r>
        <w:rPr/>
        <w:t>While You Implement: The Scope Guard</w:t>
      </w:r>
    </w:p>
    <w:p>
      <w:pPr>
        <w:pStyle w:val="BodyText"/>
        <w:bidi w:val="0"/>
        <w:jc w:val="left"/>
        <w:rPr/>
      </w:pPr>
      <w:r>
        <w:rPr/>
        <w:t>Before every Write, Edit, MultiEdit or NotebookEdit, the guard checks the target file:</w:t>
      </w:r>
    </w:p>
    <w:p>
      <w:pPr>
        <w:pStyle w:val="BodyText"/>
        <w:numPr>
          <w:ilvl w:val="0"/>
          <w:numId w:val="7"/>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7"/>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7"/>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7"/>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7"/>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1" w:name="at-the-end-of-a-turn-the-completion-audi"/>
      <w:bookmarkEnd w:id="11"/>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2" w:name="amending-scope"/>
      <w:bookmarkEnd w:id="12"/>
      <w:r>
        <w:rPr/>
        <w:t>Amending Scope</w:t>
      </w:r>
    </w:p>
    <w:p>
      <w:pPr>
        <w:pStyle w:val="BodyText"/>
        <w:numPr>
          <w:ilvl w:val="0"/>
          <w:numId w:val="8"/>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8"/>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8"/>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3" w:name="after-two-review-rounds-a-successor-plan"/>
      <w:bookmarkEnd w:id="13"/>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4" w:name="modes"/>
      <w:bookmarkEnd w:id="14"/>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31"/>
        <w:gridCol w:w="10408"/>
      </w:tblGrid>
      <w:tr>
        <w:trPr>
          <w:tblHeader w:val="true"/>
        </w:trPr>
        <w:tc>
          <w:tcPr>
            <w:tcW w:w="931" w:type="dxa"/>
            <w:tcBorders/>
            <w:vAlign w:val="center"/>
          </w:tcPr>
          <w:p>
            <w:pPr>
              <w:pStyle w:val="TableHeading"/>
              <w:suppressLineNumbers/>
              <w:shd w:fill="434C5E" w:val="clear"/>
              <w:bidi w:val="0"/>
              <w:spacing w:before="120" w:after="120"/>
              <w:jc w:val="left"/>
              <w:rPr/>
            </w:pPr>
            <w:r>
              <w:rPr/>
              <w:t>Value</w:t>
            </w:r>
          </w:p>
        </w:tc>
        <w:tc>
          <w:tcPr>
            <w:tcW w:w="10408" w:type="dxa"/>
            <w:tcBorders/>
            <w:vAlign w:val="center"/>
          </w:tcPr>
          <w:p>
            <w:pPr>
              <w:pStyle w:val="TableHeading"/>
              <w:suppressLineNumbers/>
              <w:shd w:fill="434C5E" w:val="clear"/>
              <w:bidi w:val="0"/>
              <w:spacing w:before="120" w:after="120"/>
              <w:jc w:val="left"/>
              <w:rPr/>
            </w:pPr>
            <w:r>
              <w:rPr/>
              <w:t>What happens</w:t>
            </w:r>
          </w:p>
        </w:tc>
      </w:tr>
      <w:tr>
        <w:trPr/>
        <w:tc>
          <w:tcPr>
            <w:tcW w:w="931" w:type="dxa"/>
            <w:tcBorders/>
            <w:vAlign w:val="center"/>
          </w:tcPr>
          <w:p>
            <w:pPr>
              <w:pStyle w:val="TableContents"/>
              <w:shd w:fill="2E3440" w:val="clear"/>
              <w:bidi w:val="0"/>
              <w:spacing w:before="120" w:after="120"/>
              <w:jc w:val="left"/>
              <w:rPr/>
            </w:pPr>
            <w:r>
              <w:rPr>
                <w:rStyle w:val="SourceText"/>
              </w:rPr>
              <w:t>off</w:t>
            </w:r>
          </w:p>
        </w:tc>
        <w:tc>
          <w:tcPr>
            <w:tcW w:w="10408" w:type="dxa"/>
            <w:tcBorders/>
            <w:vAlign w:val="center"/>
          </w:tcPr>
          <w:p>
            <w:pPr>
              <w:pStyle w:val="TableContents"/>
              <w:shd w:fill="2E3440" w:val="clear"/>
              <w:bidi w:val="0"/>
              <w:spacing w:before="120" w:after="120"/>
              <w:jc w:val="left"/>
              <w:rPr/>
            </w:pPr>
            <w:r>
              <w:rPr/>
              <w:t>Default. Neither hook does anything.</w:t>
            </w:r>
          </w:p>
        </w:tc>
      </w:tr>
      <w:tr>
        <w:trPr/>
        <w:tc>
          <w:tcPr>
            <w:tcW w:w="931" w:type="dxa"/>
            <w:tcBorders/>
            <w:vAlign w:val="center"/>
          </w:tcPr>
          <w:p>
            <w:pPr>
              <w:pStyle w:val="TableContents"/>
              <w:shd w:fill="2E3440" w:val="clear"/>
              <w:bidi w:val="0"/>
              <w:spacing w:before="120" w:after="120"/>
              <w:jc w:val="left"/>
              <w:rPr/>
            </w:pPr>
            <w:r>
              <w:rPr>
                <w:rStyle w:val="SourceText"/>
              </w:rPr>
              <w:t>report</w:t>
            </w:r>
          </w:p>
        </w:tc>
        <w:tc>
          <w:tcPr>
            <w:tcW w:w="10408"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31" w:type="dxa"/>
            <w:tcBorders/>
            <w:vAlign w:val="center"/>
          </w:tcPr>
          <w:p>
            <w:pPr>
              <w:pStyle w:val="TableContents"/>
              <w:shd w:fill="2E3440" w:val="clear"/>
              <w:bidi w:val="0"/>
              <w:spacing w:before="120" w:after="120"/>
              <w:jc w:val="left"/>
              <w:rPr/>
            </w:pPr>
            <w:r>
              <w:rPr>
                <w:rStyle w:val="SourceText"/>
              </w:rPr>
              <w:t>block</w:t>
            </w:r>
          </w:p>
        </w:tc>
        <w:tc>
          <w:tcPr>
            <w:tcW w:w="10408" w:type="dxa"/>
            <w:tcBorders/>
            <w:vAlign w:val="center"/>
          </w:tcPr>
          <w:p>
            <w:pPr>
              <w:pStyle w:val="TableContents"/>
              <w:shd w:fill="2E3440" w:val="clear"/>
              <w:bidi w:val="0"/>
              <w:spacing w:before="120" w:after="120"/>
              <w:jc w:val="left"/>
              <w:rPr/>
            </w:pPr>
            <w:r>
              <w:rPr/>
              <w:t>Refusals block.</w:t>
            </w:r>
          </w:p>
        </w:tc>
      </w:tr>
      <w:tr>
        <w:trPr/>
        <w:tc>
          <w:tcPr>
            <w:tcW w:w="931" w:type="dxa"/>
            <w:tcBorders/>
            <w:vAlign w:val="center"/>
          </w:tcPr>
          <w:p>
            <w:pPr>
              <w:pStyle w:val="TableContents"/>
              <w:shd w:fill="2E3440" w:val="clear"/>
              <w:bidi w:val="0"/>
              <w:spacing w:before="120" w:after="120"/>
              <w:jc w:val="left"/>
              <w:rPr/>
            </w:pPr>
            <w:r>
              <w:rPr>
                <w:rStyle w:val="SourceText"/>
              </w:rPr>
              <w:t>auto</w:t>
            </w:r>
          </w:p>
        </w:tc>
        <w:tc>
          <w:tcPr>
            <w:tcW w:w="10408"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5" w:name="which-ticket-is-active"/>
      <w:bookmarkEnd w:id="15"/>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