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and is anything less is </w:t>
      </w:r>
      <w:r>
        <w:rPr>
          <w:rStyle w:val="SourceText"/>
        </w:rPr>
        <w:t>malformed</w:t>
      </w:r>
      <w:r>
        <w:rPr/>
        <w:t xml:space="preserve">, not prose.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is </w:t>
      </w:r>
      <w:r>
        <w:rPr>
          <w:rStyle w:val="SourceText"/>
        </w:rPr>
        <w:t>no-vault-config</w:t>
      </w:r>
      <w:r>
        <w:rPr/>
        <w:t>, naming the field.</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