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2952"/>
        <w:gridCol w:w="2196"/>
      </w:tblGrid>
      <w:tr>
        <w:trPr>
          <w:tblHeader w:val="true"/>
        </w:trPr>
        <w:tc>
          <w:tcPr>
            <w:tcW w:w="2952" w:type="dxa"/>
            <w:tcBorders/>
            <w:vAlign w:val="center"/>
          </w:tcPr>
          <w:p>
            <w:pPr>
              <w:pStyle w:val="TableHeading"/>
              <w:suppressLineNumbers/>
              <w:shd w:fill="434C5E" w:val="clear"/>
              <w:bidi w:val="0"/>
              <w:spacing w:before="120" w:after="120"/>
              <w:jc w:val="left"/>
              <w:rPr/>
            </w:pPr>
            <w:r>
              <w:rPr/>
              <w:t>Ticket status</w:t>
            </w:r>
          </w:p>
        </w:tc>
        <w:tc>
          <w:tcPr>
            <w:tcW w:w="2196" w:type="dxa"/>
            <w:tcBorders/>
            <w:vAlign w:val="center"/>
          </w:tcPr>
          <w:p>
            <w:pPr>
              <w:pStyle w:val="TableHeading"/>
              <w:suppressLineNumbers/>
              <w:shd w:fill="434C5E" w:val="clear"/>
              <w:bidi w:val="0"/>
              <w:spacing w:before="120" w:after="120"/>
              <w:jc w:val="left"/>
              <w:rPr/>
            </w:pPr>
            <w:r>
              <w:rPr/>
              <w:t>Lane (default name)</w:t>
            </w:r>
          </w:p>
        </w:tc>
      </w:tr>
      <w:tr>
        <w:trPr/>
        <w:tc>
          <w:tcPr>
            <w:tcW w:w="2952"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2196" w:type="dxa"/>
            <w:tcBorders/>
            <w:vAlign w:val="center"/>
          </w:tcPr>
          <w:p>
            <w:pPr>
              <w:pStyle w:val="TableContents"/>
              <w:shd w:fill="2E3440" w:val="clear"/>
              <w:bidi w:val="0"/>
              <w:spacing w:before="120" w:after="120"/>
              <w:jc w:val="left"/>
              <w:rPr/>
            </w:pPr>
            <w:r>
              <w:rPr/>
              <w:t>Backlog</w:t>
            </w:r>
          </w:p>
        </w:tc>
      </w:tr>
      <w:tr>
        <w:trPr/>
        <w:tc>
          <w:tcPr>
            <w:tcW w:w="2952"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2196" w:type="dxa"/>
            <w:tcBorders/>
            <w:vAlign w:val="center"/>
          </w:tcPr>
          <w:p>
            <w:pPr>
              <w:pStyle w:val="TableContents"/>
              <w:shd w:fill="2E3440" w:val="clear"/>
              <w:bidi w:val="0"/>
              <w:spacing w:before="120" w:after="120"/>
              <w:jc w:val="left"/>
              <w:rPr/>
            </w:pPr>
            <w:r>
              <w:rPr/>
              <w:t>Ready</w:t>
            </w:r>
          </w:p>
        </w:tc>
      </w:tr>
      <w:tr>
        <w:trPr/>
        <w:tc>
          <w:tcPr>
            <w:tcW w:w="2952" w:type="dxa"/>
            <w:tcBorders/>
            <w:vAlign w:val="center"/>
          </w:tcPr>
          <w:p>
            <w:pPr>
              <w:pStyle w:val="TableContents"/>
              <w:shd w:fill="2E3440" w:val="clear"/>
              <w:bidi w:val="0"/>
              <w:spacing w:before="120" w:after="120"/>
              <w:jc w:val="left"/>
              <w:rPr/>
            </w:pPr>
            <w:r>
              <w:rPr>
                <w:rStyle w:val="SourceText"/>
              </w:rPr>
              <w:t>in-progress</w:t>
            </w:r>
          </w:p>
        </w:tc>
        <w:tc>
          <w:tcPr>
            <w:tcW w:w="2196" w:type="dxa"/>
            <w:tcBorders/>
            <w:vAlign w:val="center"/>
          </w:tcPr>
          <w:p>
            <w:pPr>
              <w:pStyle w:val="TableContents"/>
              <w:shd w:fill="2E3440" w:val="clear"/>
              <w:bidi w:val="0"/>
              <w:spacing w:before="120" w:after="120"/>
              <w:jc w:val="left"/>
              <w:rPr/>
            </w:pPr>
            <w:r>
              <w:rPr/>
              <w:t>In Progress</w:t>
            </w:r>
          </w:p>
        </w:tc>
      </w:tr>
      <w:tr>
        <w:trPr/>
        <w:tc>
          <w:tcPr>
            <w:tcW w:w="2952" w:type="dxa"/>
            <w:tcBorders/>
            <w:vAlign w:val="center"/>
          </w:tcPr>
          <w:p>
            <w:pPr>
              <w:pStyle w:val="TableContents"/>
              <w:shd w:fill="2E3440" w:val="clear"/>
              <w:bidi w:val="0"/>
              <w:spacing w:before="120" w:after="120"/>
              <w:jc w:val="left"/>
              <w:rPr/>
            </w:pPr>
            <w:r>
              <w:rPr>
                <w:rStyle w:val="SourceText"/>
              </w:rPr>
              <w:t>review</w:t>
            </w:r>
          </w:p>
        </w:tc>
        <w:tc>
          <w:tcPr>
            <w:tcW w:w="2196" w:type="dxa"/>
            <w:tcBorders/>
            <w:vAlign w:val="center"/>
          </w:tcPr>
          <w:p>
            <w:pPr>
              <w:pStyle w:val="TableContents"/>
              <w:shd w:fill="2E3440" w:val="clear"/>
              <w:bidi w:val="0"/>
              <w:spacing w:before="120" w:after="120"/>
              <w:jc w:val="left"/>
              <w:rPr/>
            </w:pPr>
            <w:r>
              <w:rPr/>
              <w:t>Review</w:t>
            </w:r>
          </w:p>
        </w:tc>
      </w:tr>
      <w:tr>
        <w:trPr/>
        <w:tc>
          <w:tcPr>
            <w:tcW w:w="2952" w:type="dxa"/>
            <w:tcBorders/>
            <w:vAlign w:val="center"/>
          </w:tcPr>
          <w:p>
            <w:pPr>
              <w:pStyle w:val="TableContents"/>
              <w:shd w:fill="2E3440" w:val="clear"/>
              <w:bidi w:val="0"/>
              <w:spacing w:before="120" w:after="120"/>
              <w:jc w:val="left"/>
              <w:rPr/>
            </w:pPr>
            <w:r>
              <w:rPr>
                <w:rStyle w:val="SourceText"/>
              </w:rPr>
              <w:t>done</w:t>
            </w:r>
          </w:p>
        </w:tc>
        <w:tc>
          <w:tcPr>
            <w:tcW w:w="2196"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2952"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2196"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6"/>
        <w:gridCol w:w="1500"/>
        <w:gridCol w:w="752"/>
      </w:tblGrid>
      <w:tr>
        <w:trPr>
          <w:tblHeader w:val="true"/>
        </w:trPr>
        <w:tc>
          <w:tcPr>
            <w:tcW w:w="2896" w:type="dxa"/>
            <w:tcBorders/>
            <w:vAlign w:val="center"/>
          </w:tcPr>
          <w:p>
            <w:pPr>
              <w:pStyle w:val="TableHeading"/>
              <w:suppressLineNumbers/>
              <w:shd w:fill="434C5E" w:val="clear"/>
              <w:bidi w:val="0"/>
              <w:spacing w:before="120" w:after="120"/>
              <w:jc w:val="left"/>
              <w:rPr/>
            </w:pPr>
            <w:r>
              <w:rPr/>
              <w:t>state</w:t>
            </w:r>
          </w:p>
        </w:tc>
        <w:tc>
          <w:tcPr>
            <w:tcW w:w="1500"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6" w:type="dxa"/>
            <w:tcBorders/>
            <w:vAlign w:val="center"/>
          </w:tcPr>
          <w:p>
            <w:pPr>
              <w:pStyle w:val="TableContents"/>
              <w:shd w:fill="2E3440" w:val="clear"/>
              <w:bidi w:val="0"/>
              <w:spacing w:before="120" w:after="120"/>
              <w:jc w:val="left"/>
              <w:rPr/>
            </w:pPr>
            <w:r>
              <w:rPr>
                <w:rStyle w:val="SourceText"/>
              </w:rPr>
              <w:t>pointer-written</w:t>
            </w:r>
          </w:p>
        </w:tc>
        <w:tc>
          <w:tcPr>
            <w:tcW w:w="1500"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already-pointer</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no vault configured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w:t>
      </w:r>
    </w:p>
    <w:p>
      <w:pPr>
        <w:pStyle w:val="Heading3"/>
        <w:bidi w:val="0"/>
        <w:ind w:hanging="0" w:left="0" w:right="0"/>
        <w:jc w:val="left"/>
        <w:rPr/>
      </w:pPr>
      <w:bookmarkStart w:id="13" w:name="converting-existing-memories"/>
      <w:bookmarkEnd w:id="13"/>
      <w:r>
        <w:rPr/>
        <w:t>Converting Existing Memories</w:t>
      </w:r>
    </w:p>
    <w:p>
      <w:pPr>
        <w:pStyle w:val="BodyText"/>
        <w:bidi w:val="0"/>
        <w:jc w:val="left"/>
        <w:rPr/>
      </w:pPr>
      <w:r>
        <w:rPr>
          <w:rStyle w:val="SourceText"/>
        </w:rPr>
        <w:t>migrate</w:t>
      </w:r>
      <w:r>
        <w:rPr/>
        <w:t xml:space="preserve"> runs </w:t>
      </w:r>
      <w:r>
        <w:rPr>
          <w:rStyle w:val="SourceText"/>
        </w:rPr>
        <w:t>save</w:t>
      </w:r>
      <w:r>
        <w:rPr/>
        <w:t xml:space="preserve"> over every memory in one folder. It never runs by itself, and without </w:t>
      </w:r>
      <w:r>
        <w:rPr>
          <w:rStyle w:val="SourceText"/>
        </w:rPr>
        <w:t>--apply</w:t>
      </w:r>
      <w:r>
        <w:rPr/>
        <w:t xml:space="preserve"> it writes nothing:</w:t>
      </w:r>
    </w:p>
    <w:p>
      <w:pPr>
        <w:pStyle w:val="PreformattedText"/>
        <w:bidi w:val="0"/>
        <w:jc w:val="left"/>
        <w:rPr/>
      </w:pPr>
      <w:r>
        <w:rPr>
          <w:rStyle w:val="SourceText"/>
        </w:rPr>
        <w:t>python3 plugin/crew/hooks/scripts/crew_memory.py migrate --memory-dir &lt;memory dir&gt; --tag &lt;tag&gt;</w:t>
      </w:r>
    </w:p>
    <w:p>
      <w:pPr>
        <w:pStyle w:val="PreformattedText"/>
        <w:bidi w:val="0"/>
        <w:jc w:val="left"/>
        <w:rPr/>
      </w:pPr>
      <w:r>
        <w:rPr>
          <w:rStyle w:val="SourceText"/>
        </w:rPr>
        <w:t>python3 plugin/crew/hooks/scripts/crew_memory.py migrate --memory-dir &lt;memory dir&gt; --tag &lt;tag&gt; --apply</w:t>
      </w:r>
    </w:p>
    <w:p>
      <w:pPr>
        <w:pStyle w:val="BodyText"/>
        <w:bidi w:val="0"/>
        <w:jc w:val="left"/>
        <w:rPr/>
      </w:pPr>
      <w:r>
        <w:rPr/>
        <w:t xml:space="preserve">The preview has one row per memory file, in name order; </w:t>
      </w:r>
      <w:r>
        <w:rPr>
          <w:rStyle w:val="SourceText"/>
        </w:rPr>
        <w:t>MEMORY.md</w:t>
      </w:r>
      <w:r>
        <w:rPr/>
        <w:t xml:space="preserve"> is never a row and never edited:</w:t>
      </w:r>
    </w:p>
    <w:tbl>
      <w:tblPr>
        <w:tblW w:w="5148" w:type="dxa"/>
        <w:jc w:val="left"/>
        <w:tblInd w:w="0" w:type="dxa"/>
        <w:tblLayout w:type="fixed"/>
        <w:tblCellMar>
          <w:top w:w="28" w:type="dxa"/>
          <w:left w:w="28" w:type="dxa"/>
          <w:bottom w:w="28" w:type="dxa"/>
          <w:right w:w="28" w:type="dxa"/>
        </w:tblCellMar>
      </w:tblPr>
      <w:tblGrid>
        <w:gridCol w:w="1221"/>
        <w:gridCol w:w="3927"/>
      </w:tblGrid>
      <w:tr>
        <w:trPr>
          <w:tblHeader w:val="true"/>
        </w:trPr>
        <w:tc>
          <w:tcPr>
            <w:tcW w:w="1221" w:type="dxa"/>
            <w:tcBorders/>
            <w:vAlign w:val="center"/>
          </w:tcPr>
          <w:p>
            <w:pPr>
              <w:pStyle w:val="TableHeading"/>
              <w:suppressLineNumbers/>
              <w:shd w:fill="434C5E" w:val="clear"/>
              <w:bidi w:val="0"/>
              <w:spacing w:before="120" w:after="120"/>
              <w:jc w:val="left"/>
              <w:rPr/>
            </w:pPr>
            <w:r>
              <w:rPr/>
              <w:t>action</w:t>
            </w:r>
          </w:p>
        </w:tc>
        <w:tc>
          <w:tcPr>
            <w:tcW w:w="3927" w:type="dxa"/>
            <w:tcBorders/>
            <w:vAlign w:val="center"/>
          </w:tcPr>
          <w:p>
            <w:pPr>
              <w:pStyle w:val="TableHeading"/>
              <w:suppressLineNumbers/>
              <w:shd w:fill="434C5E" w:val="clear"/>
              <w:bidi w:val="0"/>
              <w:spacing w:before="120" w:after="120"/>
              <w:jc w:val="left"/>
              <w:rPr/>
            </w:pPr>
            <w:r>
              <w:rPr/>
              <w:t>meaning</w:t>
            </w:r>
          </w:p>
        </w:tc>
      </w:tr>
      <w:tr>
        <w:trPr/>
        <w:tc>
          <w:tcPr>
            <w:tcW w:w="1221" w:type="dxa"/>
            <w:tcBorders/>
            <w:vAlign w:val="center"/>
          </w:tcPr>
          <w:p>
            <w:pPr>
              <w:pStyle w:val="TableContents"/>
              <w:shd w:fill="2E3440" w:val="clear"/>
              <w:bidi w:val="0"/>
              <w:spacing w:before="120" w:after="120"/>
              <w:jc w:val="left"/>
              <w:rPr/>
            </w:pPr>
            <w:r>
              <w:rPr>
                <w:rStyle w:val="SourceText"/>
              </w:rPr>
              <w:t>convert</w:t>
            </w:r>
          </w:p>
        </w:tc>
        <w:tc>
          <w:tcPr>
            <w:tcW w:w="3927" w:type="dxa"/>
            <w:tcBorders/>
            <w:vAlign w:val="center"/>
          </w:tcPr>
          <w:p>
            <w:pPr>
              <w:pStyle w:val="TableContents"/>
              <w:shd w:fill="2E3440" w:val="clear"/>
              <w:bidi w:val="0"/>
              <w:spacing w:before="120" w:after="120"/>
              <w:jc w:val="left"/>
              <w:rPr/>
            </w:pPr>
            <w:r>
              <w:rPr>
                <w:rStyle w:val="SourceText"/>
              </w:rPr>
              <w:t>save</w:t>
            </w:r>
            <w:r>
              <w:rPr/>
              <w:t xml:space="preserve"> would create the note shown</w:t>
            </w:r>
          </w:p>
        </w:tc>
      </w:tr>
      <w:tr>
        <w:trPr/>
        <w:tc>
          <w:tcPr>
            <w:tcW w:w="1221" w:type="dxa"/>
            <w:tcBorders/>
            <w:vAlign w:val="center"/>
          </w:tcPr>
          <w:p>
            <w:pPr>
              <w:pStyle w:val="TableContents"/>
              <w:shd w:fill="2E3440" w:val="clear"/>
              <w:bidi w:val="0"/>
              <w:spacing w:before="120" w:after="120"/>
              <w:jc w:val="left"/>
              <w:rPr/>
            </w:pPr>
            <w:r>
              <w:rPr>
                <w:rStyle w:val="SourceText"/>
              </w:rPr>
              <w:t>append</w:t>
            </w:r>
          </w:p>
        </w:tc>
        <w:tc>
          <w:tcPr>
            <w:tcW w:w="3927" w:type="dxa"/>
            <w:tcBorders/>
            <w:vAlign w:val="center"/>
          </w:tcPr>
          <w:p>
            <w:pPr>
              <w:pStyle w:val="TableContents"/>
              <w:shd w:fill="2E3440" w:val="clear"/>
              <w:bidi w:val="0"/>
              <w:spacing w:before="120" w:after="120"/>
              <w:jc w:val="left"/>
              <w:rPr/>
            </w:pPr>
            <w:r>
              <w:rPr/>
              <w:t xml:space="preserve">a note with this </w:t>
            </w:r>
            <w:r>
              <w:rPr>
                <w:rStyle w:val="SourceText"/>
              </w:rPr>
              <w:t>memory_id</w:t>
            </w:r>
            <w:r>
              <w:rPr/>
              <w:t xml:space="preserve"> already exists; </w:t>
            </w:r>
            <w:r>
              <w:rPr>
                <w:rStyle w:val="SourceText"/>
              </w:rPr>
              <w:t>save</w:t>
            </w:r>
            <w:r>
              <w:rPr/>
              <w:t xml:space="preserve"> would add to it</w:t>
            </w:r>
          </w:p>
        </w:tc>
      </w:tr>
      <w:tr>
        <w:trPr/>
        <w:tc>
          <w:tcPr>
            <w:tcW w:w="1221" w:type="dxa"/>
            <w:tcBorders/>
            <w:vAlign w:val="center"/>
          </w:tcPr>
          <w:p>
            <w:pPr>
              <w:pStyle w:val="TableContents"/>
              <w:shd w:fill="2E3440" w:val="clear"/>
              <w:bidi w:val="0"/>
              <w:spacing w:before="120" w:after="120"/>
              <w:jc w:val="left"/>
              <w:rPr/>
            </w:pPr>
            <w:r>
              <w:rPr>
                <w:rStyle w:val="SourceText"/>
              </w:rPr>
              <w:t>skip: already a pointer</w:t>
            </w:r>
          </w:p>
        </w:tc>
        <w:tc>
          <w:tcPr>
            <w:tcW w:w="3927" w:type="dxa"/>
            <w:tcBorders/>
            <w:vAlign w:val="center"/>
          </w:tcPr>
          <w:p>
            <w:pPr>
              <w:pStyle w:val="TableContents"/>
              <w:shd w:fill="2E3440" w:val="clear"/>
              <w:bidi w:val="0"/>
              <w:spacing w:before="120" w:after="120"/>
              <w:jc w:val="left"/>
              <w:rPr/>
            </w:pPr>
            <w:r>
              <w:rPr/>
              <w:t>nothing to do</w:t>
            </w:r>
          </w:p>
        </w:tc>
      </w:tr>
      <w:tr>
        <w:trPr/>
        <w:tc>
          <w:tcPr>
            <w:tcW w:w="1221" w:type="dxa"/>
            <w:tcBorders/>
            <w:vAlign w:val="center"/>
          </w:tcPr>
          <w:p>
            <w:pPr>
              <w:pStyle w:val="TableContents"/>
              <w:shd w:fill="2E3440" w:val="clear"/>
              <w:bidi w:val="0"/>
              <w:spacing w:before="120" w:after="120"/>
              <w:jc w:val="left"/>
              <w:rPr/>
            </w:pPr>
            <w:r>
              <w:rPr>
                <w:rStyle w:val="SourceText"/>
              </w:rPr>
              <w:t>skip: &lt;state&gt;</w:t>
            </w:r>
          </w:p>
        </w:tc>
        <w:tc>
          <w:tcPr>
            <w:tcW w:w="3927" w:type="dxa"/>
            <w:tcBorders/>
            <w:vAlign w:val="center"/>
          </w:tcPr>
          <w:p>
            <w:pPr>
              <w:pStyle w:val="TableContents"/>
              <w:shd w:fill="2E3440" w:val="clear"/>
              <w:bidi w:val="0"/>
              <w:spacing w:before="120" w:after="120"/>
              <w:jc w:val="left"/>
              <w:rPr/>
            </w:pPr>
            <w:r>
              <w:rPr/>
              <w:t xml:space="preserve">a pointer that does not resolve, or a </w:t>
            </w:r>
            <w:r>
              <w:rPr>
                <w:rStyle w:val="SourceText"/>
              </w:rPr>
              <w:t>malformed</w:t>
            </w:r>
            <w:r>
              <w:rPr/>
              <w:t xml:space="preserve"> one</w:t>
            </w:r>
          </w:p>
        </w:tc>
      </w:tr>
      <w:tr>
        <w:trPr/>
        <w:tc>
          <w:tcPr>
            <w:tcW w:w="1221" w:type="dxa"/>
            <w:tcBorders/>
            <w:vAlign w:val="center"/>
          </w:tcPr>
          <w:p>
            <w:pPr>
              <w:pStyle w:val="TableContents"/>
              <w:shd w:fill="2E3440" w:val="clear"/>
              <w:bidi w:val="0"/>
              <w:spacing w:before="120" w:after="120"/>
              <w:jc w:val="left"/>
              <w:rPr/>
            </w:pPr>
            <w:r>
              <w:rPr>
                <w:rStyle w:val="SourceText"/>
              </w:rPr>
              <w:t>refuse: &lt;reason&gt;</w:t>
            </w:r>
          </w:p>
        </w:tc>
        <w:tc>
          <w:tcPr>
            <w:tcW w:w="3927" w:type="dxa"/>
            <w:tcBorders/>
            <w:vAlign w:val="center"/>
          </w:tcPr>
          <w:p>
            <w:pPr>
              <w:pStyle w:val="TableContents"/>
              <w:shd w:fill="2E3440" w:val="clear"/>
              <w:bidi w:val="0"/>
              <w:spacing w:before="120" w:after="120"/>
              <w:jc w:val="left"/>
              <w:rPr/>
            </w:pPr>
            <w:r>
              <w:rPr/>
              <w:t xml:space="preserve">anything </w:t>
            </w:r>
            <w:r>
              <w:rPr>
                <w:rStyle w:val="SourceText"/>
              </w:rPr>
              <w:t>save</w:t>
            </w:r>
            <w:r>
              <w:rPr/>
              <w:t xml:space="preserve"> refuses, a title that is not a portable file name (</w:t>
            </w:r>
            <w:r>
              <w:rPr>
                <w:rStyle w:val="SourceText"/>
              </w:rPr>
              <w:t>: ? * &lt; &gt; \| " \</w:t>
            </w:r>
            <w:r>
              <w:rPr/>
              <w:t xml:space="preserve">, a trailing dot or space, a device name such as </w:t>
            </w:r>
            <w:r>
              <w:rPr>
                <w:rStyle w:val="SourceText"/>
              </w:rPr>
              <w:t>CON</w:t>
            </w:r>
            <w:r>
              <w:rPr/>
              <w:t>), or two files that would write one note (</w:t>
            </w:r>
            <w:r>
              <w:rPr>
                <w:rStyle w:val="SourceText"/>
              </w:rPr>
              <w:t>duplicate note path</w:t>
            </w:r>
            <w:r>
              <w:rPr/>
              <w:t>)</w:t>
            </w:r>
          </w:p>
        </w:tc>
      </w:tr>
    </w:tbl>
    <w:p>
      <w:pPr>
        <w:pStyle w:val="BodyText"/>
        <w:bidi w:val="0"/>
        <w:jc w:val="left"/>
        <w:rPr/>
      </w:pPr>
      <w:r>
        <w:rPr/>
        <w:t xml:space="preserve">With </w:t>
      </w:r>
      <w:r>
        <w:rPr>
          <w:rStyle w:val="SourceText"/>
        </w:rPr>
        <w:t>--apply</w:t>
      </w:r>
      <w:r>
        <w:rPr/>
        <w:t xml:space="preserve">, each </w:t>
      </w:r>
      <w:r>
        <w:rPr>
          <w:rStyle w:val="SourceText"/>
        </w:rPr>
        <w:t>convert</w:t>
      </w:r>
      <w:r>
        <w:rPr/>
        <w:t xml:space="preserve"> and </w:t>
      </w:r>
      <w:r>
        <w:rPr>
          <w:rStyle w:val="SourceText"/>
        </w:rPr>
        <w:t>append</w:t>
      </w:r>
      <w:r>
        <w:rPr/>
        <w:t xml:space="preserve"> row is saved one file at a time. A file whose save fails is shown as </w:t>
      </w:r>
      <w:r>
        <w:rPr>
          <w:rStyle w:val="SourceText"/>
        </w:rPr>
        <w:t>failed</w:t>
      </w:r>
      <w:r>
        <w:rPr/>
        <w:t xml:space="preserve"> with </w:t>
      </w:r>
      <w:r>
        <w:rPr>
          <w:rStyle w:val="SourceText"/>
        </w:rPr>
        <w:t>save</w:t>
      </w:r>
      <w:r>
        <w:rPr/>
        <w:t xml:space="preserve">'s </w:t>
      </w:r>
      <w:r>
        <w:rPr>
          <w:rStyle w:val="SourceText"/>
        </w:rPr>
        <w:t>kept-full-text</w:t>
      </w:r>
      <w:r>
        <w:rPr/>
        <w:t xml:space="preserve"> reason, and the others still go ahead. One </w:t>
      </w:r>
      <w:r>
        <w:rPr>
          <w:rStyle w:val="SourceText"/>
        </w:rPr>
        <w:t>--tag</w:t>
      </w:r>
      <w:r>
        <w:rPr/>
        <w:t xml:space="preserve"> set covers the run; use </w:t>
      </w:r>
      <w:r>
        <w:rPr>
          <w:rStyle w:val="SourceText"/>
        </w:rPr>
        <w:t>--only &lt;file name&gt;</w:t>
      </w:r>
      <w:r>
        <w:rPr/>
        <w:t xml:space="preserve"> to run batches with different tags. </w:t>
      </w:r>
      <w:r>
        <w:rPr>
          <w:rStyle w:val="SourceText"/>
        </w:rPr>
        <w:t>--note-dir</w:t>
      </w:r>
      <w:r>
        <w:rPr/>
        <w:t xml:space="preserve">, </w:t>
      </w:r>
      <w:r>
        <w:rPr>
          <w:rStyle w:val="SourceText"/>
        </w:rPr>
        <w:t>--type</w:t>
      </w:r>
      <w:r>
        <w:rPr/>
        <w:t xml:space="preserve"> and </w:t>
      </w:r>
      <w:r>
        <w:rPr>
          <w:rStyle w:val="SourceText"/>
        </w:rPr>
        <w:t>--project</w:t>
      </w:r>
      <w:r>
        <w:rPr/>
        <w:t xml:space="preserve"> work as they do for </w:t>
      </w:r>
      <w:r>
        <w:rPr>
          <w:rStyle w:val="SourceText"/>
        </w:rPr>
        <w:t>save</w:t>
      </w:r>
      <w:r>
        <w:rPr/>
        <w:t>. Nothing is recorded between runs, so running it again converts nothing twice.</w:t>
      </w:r>
    </w:p>
    <w:p>
      <w:pPr>
        <w:pStyle w:val="BodyText"/>
        <w:bidi w:val="0"/>
        <w:jc w:val="left"/>
        <w:rPr/>
      </w:pPr>
      <w:r>
        <w:rPr>
          <w:rStyle w:val="SourceText"/>
        </w:rPr>
        <w:t>restore</w:t>
      </w:r>
      <w:r>
        <w:rPr/>
        <w:t xml:space="preserve"> is the way back for one memory:</w:t>
      </w:r>
    </w:p>
    <w:p>
      <w:pPr>
        <w:pStyle w:val="PreformattedText"/>
        <w:bidi w:val="0"/>
        <w:jc w:val="left"/>
        <w:rPr/>
      </w:pPr>
      <w:r>
        <w:rPr>
          <w:rStyle w:val="SourceText"/>
        </w:rPr>
        <w:t>python3 plugin/crew/hooks/scripts/crew_memory.py restore --file &lt;memory file&gt; --apply</w:t>
      </w:r>
    </w:p>
    <w:p>
      <w:pPr>
        <w:pStyle w:val="BodyText"/>
        <w:bidi w:val="0"/>
        <w:jc w:val="left"/>
        <w:rPr/>
      </w:pPr>
      <w:r>
        <w:rPr/>
        <w:t xml:space="preserve">It puts the note's text back as the memory's body (frontmatter kept) and leaves the note alone. Without </w:t>
      </w:r>
      <w:r>
        <w:rPr>
          <w:rStyle w:val="SourceText"/>
        </w:rPr>
        <w:t>--apply</w:t>
      </w:r>
      <w:r>
        <w:rPr/>
        <w:t xml:space="preserve"> it shows the first line and the line count. A pointer that does not resolve is reported and nothing is written.</w:t>
      </w:r>
    </w:p>
    <w:p>
      <w:pPr>
        <w:pStyle w:val="Heading2"/>
        <w:bidi w:val="0"/>
        <w:ind w:hanging="0" w:left="0" w:right="0"/>
        <w:jc w:val="left"/>
        <w:rPr/>
      </w:pPr>
      <w:bookmarkStart w:id="14" w:name="confirming-recall-reaches-your-sessions"/>
      <w:bookmarkEnd w:id="14"/>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5" w:name="path-scoped-rules-from-the-code-map"/>
      <w:bookmarkEnd w:id="15"/>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6" w:name="confirming-recall-reaches-your-sessions_"/>
      <w:bookmarkEnd w:id="16"/>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7" w:name="which-channel-reaches-which-agent"/>
      <w:bookmarkEnd w:id="17"/>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8" w:name="where-recall-comes-from"/>
      <w:bookmarkEnd w:id="18"/>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9" w:name="the-seeded-note-proof"/>
      <w:bookmarkEnd w:id="19"/>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20" w:name="measured-against-the-real-vault_opspy-re"/>
      <w:bookmarkEnd w:id="20"/>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1" w:name="reading-stats"/>
      <w:bookmarkEnd w:id="21"/>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