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4698" w:type="dxa"/>
        <w:jc w:val="left"/>
        <w:tblInd w:w="0" w:type="dxa"/>
        <w:tblLayout w:type="fixed"/>
        <w:tblCellMar>
          <w:top w:w="28" w:type="dxa"/>
          <w:left w:w="28" w:type="dxa"/>
          <w:bottom w:w="28" w:type="dxa"/>
          <w:right w:w="28" w:type="dxa"/>
        </w:tblCellMar>
      </w:tblPr>
      <w:tblGrid>
        <w:gridCol w:w="1621"/>
        <w:gridCol w:w="1411"/>
        <w:gridCol w:w="1666"/>
      </w:tblGrid>
      <w:tr>
        <w:trPr>
          <w:tblHeader w:val="true"/>
        </w:trPr>
        <w:tc>
          <w:tcPr>
            <w:tcW w:w="1621" w:type="dxa"/>
            <w:tcBorders/>
            <w:vAlign w:val="center"/>
          </w:tcPr>
          <w:p>
            <w:pPr>
              <w:pStyle w:val="TableHeading"/>
              <w:suppressLineNumbers/>
              <w:shd w:fill="434C5E" w:val="clear"/>
              <w:bidi w:val="0"/>
              <w:spacing w:before="120" w:after="120"/>
              <w:jc w:val="left"/>
              <w:rPr/>
            </w:pPr>
            <w:r>
              <w:rPr/>
              <w:t>Surface</w:t>
            </w:r>
          </w:p>
        </w:tc>
        <w:tc>
          <w:tcPr>
            <w:tcW w:w="1411" w:type="dxa"/>
            <w:tcBorders/>
            <w:vAlign w:val="center"/>
          </w:tcPr>
          <w:p>
            <w:pPr>
              <w:pStyle w:val="TableHeading"/>
              <w:suppressLineNumbers/>
              <w:shd w:fill="434C5E" w:val="clear"/>
              <w:bidi w:val="0"/>
              <w:spacing w:before="120" w:after="120"/>
              <w:jc w:val="left"/>
              <w:rPr/>
            </w:pPr>
            <w:r>
              <w:rPr/>
              <w:t>Claude Code</w:t>
            </w:r>
          </w:p>
        </w:tc>
        <w:tc>
          <w:tcPr>
            <w:tcW w:w="1666" w:type="dxa"/>
            <w:tcBorders/>
            <w:vAlign w:val="center"/>
          </w:tcPr>
          <w:p>
            <w:pPr>
              <w:pStyle w:val="TableHeading"/>
              <w:suppressLineNumbers/>
              <w:shd w:fill="434C5E" w:val="clear"/>
              <w:bidi w:val="0"/>
              <w:spacing w:before="120" w:after="120"/>
              <w:jc w:val="left"/>
              <w:rPr/>
            </w:pPr>
            <w:r>
              <w:rPr/>
              <w:t>Codex</w:t>
            </w:r>
          </w:p>
        </w:tc>
      </w:tr>
      <w:tr>
        <w:trPr/>
        <w:tc>
          <w:tcPr>
            <w:tcW w:w="1621"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1411"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1666" w:type="dxa"/>
            <w:tcBorders/>
            <w:vAlign w:val="center"/>
          </w:tcPr>
          <w:p>
            <w:pPr>
              <w:pStyle w:val="TableContents"/>
              <w:shd w:fill="2E3440" w:val="clear"/>
              <w:bidi w:val="0"/>
              <w:spacing w:before="120" w:after="120"/>
              <w:jc w:val="left"/>
              <w:rPr/>
            </w:pPr>
            <w:r>
              <w:rPr/>
              <w:t>natively</w:t>
            </w:r>
          </w:p>
        </w:tc>
      </w:tr>
      <w:tr>
        <w:trPr/>
        <w:tc>
          <w:tcPr>
            <w:tcW w:w="1621"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1411" w:type="dxa"/>
            <w:tcBorders/>
            <w:vAlign w:val="center"/>
          </w:tcPr>
          <w:p>
            <w:pPr>
              <w:pStyle w:val="TableContents"/>
              <w:shd w:fill="2E3440" w:val="clear"/>
              <w:bidi w:val="0"/>
              <w:spacing w:before="120" w:after="120"/>
              <w:jc w:val="left"/>
              <w:rPr/>
            </w:pPr>
            <w:r>
              <w:rPr/>
              <w:t>yes, when a matching file is read</w:t>
            </w:r>
          </w:p>
        </w:tc>
        <w:tc>
          <w:tcPr>
            <w:tcW w:w="1666"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1621" w:type="dxa"/>
            <w:tcBorders/>
            <w:vAlign w:val="center"/>
          </w:tcPr>
          <w:p>
            <w:pPr>
              <w:pStyle w:val="TableContents"/>
              <w:shd w:fill="2E3440" w:val="clear"/>
              <w:bidi w:val="0"/>
              <w:spacing w:before="120" w:after="120"/>
              <w:jc w:val="left"/>
              <w:rPr/>
            </w:pPr>
            <w:r>
              <w:rPr/>
              <w:t>crew's context hook</w:t>
            </w:r>
          </w:p>
        </w:tc>
        <w:tc>
          <w:tcPr>
            <w:tcW w:w="1411"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1666"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1621" w:type="dxa"/>
            <w:tcBorders/>
            <w:vAlign w:val="center"/>
          </w:tcPr>
          <w:p>
            <w:pPr>
              <w:pStyle w:val="TableContents"/>
              <w:shd w:fill="2E3440" w:val="clear"/>
              <w:bidi w:val="0"/>
              <w:spacing w:before="120" w:after="120"/>
              <w:jc w:val="left"/>
              <w:rPr/>
            </w:pPr>
            <w:r>
              <w:rPr>
                <w:rStyle w:val="SourceText"/>
              </w:rPr>
              <w:t>CLAUDE.md</w:t>
            </w:r>
          </w:p>
        </w:tc>
        <w:tc>
          <w:tcPr>
            <w:tcW w:w="1411" w:type="dxa"/>
            <w:tcBorders/>
            <w:vAlign w:val="center"/>
          </w:tcPr>
          <w:p>
            <w:pPr>
              <w:pStyle w:val="TableContents"/>
              <w:shd w:fill="2E3440" w:val="clear"/>
              <w:bidi w:val="0"/>
              <w:spacing w:before="120" w:after="120"/>
              <w:jc w:val="left"/>
              <w:rPr/>
            </w:pPr>
            <w:r>
              <w:rPr/>
              <w:t>natively</w:t>
            </w:r>
          </w:p>
        </w:tc>
        <w:tc>
          <w:tcPr>
            <w:tcW w:w="1666"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To check that Codex answers before you rely on it, run the probe from anywhere:</w:t>
      </w:r>
    </w:p>
    <w:p>
      <w:pPr>
        <w:pStyle w:val="PreformattedText"/>
        <w:bidi w:val="0"/>
        <w:jc w:val="left"/>
        <w:rPr/>
      </w:pPr>
      <w:r>
        <w:rPr>
          <w:rStyle w:val="SourceText"/>
        </w:rPr>
        <w:t>python3 "${CLAUDE_PLUGIN_ROOT}/hooks/scripts/provider_probe.py" codex --root &lt;repo&gt;</w:t>
      </w:r>
    </w:p>
    <w:p>
      <w:pPr>
        <w:pStyle w:val="BodyText"/>
        <w:bidi w:val="0"/>
        <w:jc w:val="left"/>
        <w:rPr/>
      </w:pPr>
      <w:r>
        <w:rPr/>
        <w:t>It makes one real call with the reviewer's own command line (</w:t>
      </w:r>
      <w:r>
        <w:rPr>
          <w:rStyle w:val="SourceText"/>
        </w:rPr>
        <w:t>review_run.command_for</w:t>
      </w:r>
      <w:r>
        <w:rPr/>
        <w:t xml:space="preserve">, which adds </w:t>
      </w:r>
      <w:r>
        <w:rPr>
          <w:rStyle w:val="SourceText"/>
        </w:rPr>
        <w:t>--skip-git-repo-check</w:t>
      </w:r>
      <w:r>
        <w:rPr/>
        <w:t xml:space="preserve"> and </w:t>
      </w:r>
      <w:r>
        <w:rPr>
          <w:rStyle w:val="SourceText"/>
        </w:rPr>
        <w:t>-C &lt;repo&gt;</w:t>
      </w:r>
      <w:r>
        <w:rPr/>
        <w:t xml:space="preserve">) and runs it with the repo root as its working directory, so it does not hit "Not inside a trusted directory" the way a </w:t>
      </w:r>
      <w:r>
        <w:rPr>
          <w:rStyle w:val="SourceText"/>
        </w:rPr>
        <w:t>codex exec</w:t>
      </w:r>
      <w:r>
        <w:rPr/>
        <w:t xml:space="preserve"> typed in a </w:t>
      </w:r>
      <w:r>
        <w:rPr>
          <w:rStyle w:val="SourceText"/>
        </w:rPr>
        <w:t>/tmp</w:t>
      </w:r>
      <w:r>
        <w:rPr/>
        <w:t xml:space="preserve"> export does. </w:t>
      </w:r>
      <w:r>
        <w:rPr>
          <w:rStyle w:val="SourceText"/>
        </w:rPr>
        <w:t>codex: ok</w:t>
      </w:r>
      <w:r>
        <w:rPr/>
        <w:t xml:space="preserve"> is exit 0; </w:t>
      </w:r>
      <w:r>
        <w:rPr>
          <w:rStyle w:val="SourceText"/>
        </w:rPr>
        <w:t>codex: FAILED - &lt;reason&gt;</w:t>
      </w:r>
      <w:r>
        <w:rPr/>
        <w:t xml:space="preserve"> (a failed call, an incomplete event stream, or a 120 s timeout) is exit 1; </w:t>
      </w:r>
      <w:r>
        <w:rPr>
          <w:rStyle w:val="SourceText"/>
        </w:rPr>
        <w:t>codex: not installed</w:t>
      </w:r>
      <w:r>
        <w:rPr/>
        <w:t xml:space="preserve"> is exit 2.</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5,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