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31" w:type="dxa"/>
        <w:jc w:val="left"/>
        <w:tblInd w:w="28" w:type="dxa"/>
        <w:tblLayout w:type="fixed"/>
        <w:tblCellMar>
          <w:top w:w="28" w:type="dxa"/>
          <w:left w:w="28" w:type="dxa"/>
          <w:bottom w:w="28" w:type="dxa"/>
          <w:right w:w="28" w:type="dxa"/>
        </w:tblCellMar>
      </w:tblPr>
      <w:tblGrid>
        <w:gridCol w:w="2119"/>
        <w:gridCol w:w="2456"/>
        <w:gridCol w:w="2022"/>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22"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2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2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22"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2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2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22"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2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22"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22"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022"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2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22"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22"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own the FINDINGS with </w:t>
      </w:r>
      <w:r>
        <w:rPr>
          <w:rStyle w:val="SourceText"/>
        </w:rPr>
        <w:t>--accept --by &lt;who&gt;</w:t>
      </w:r>
      <w:r>
        <w:rPr/>
        <w:t xml:space="preserve"> (only the most recent completed round, only once, never once </w:t>
      </w:r>
      <w:r>
        <w:rPr>
          <w:rStyle w:val="SourceText"/>
        </w:rPr>
        <w:t>NEEDS_REPLAN</w:t>
      </w:r>
      <w:r>
        <w:rPr/>
        <w:t xml:space="preserve">),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8"/>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w:t>
      </w:r>
      <w:r>
        <w:rPr>
          <w:rStyle w:val="Strong"/>
        </w:rPr>
        <w:t>Fix:</w:t>
      </w:r>
      <w:r>
        <w:rPr/>
        <w:t xml:space="preserve"> re-approve. The user types </w:t>
      </w:r>
      <w:r>
        <w:rPr>
          <w:rStyle w:val="SourceText"/>
        </w:rPr>
        <w:t>/crew:approve &lt;id&gt;</w:t>
      </w:r>
      <w:r>
        <w:rPr/>
        <w:t xml:space="preserve"> again — nothing else can write the receipt;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9"/>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0"/>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0"/>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cloud-guard-false-positives"/>
      <w:bookmarkEnd w:id="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1"/>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1"/>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1"/>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6" w:name="obsidian"/>
      <w:bookmarkEnd w:id="6"/>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2"/>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2"/>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3"/>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3"/>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3"/>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3"/>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3"/>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3"/>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7" w:name="auto-wrap-up-clear-and-resume"/>
      <w:bookmarkEnd w:id="7"/>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8" w:name="auto-clear-did-nothing-on-windows"/>
      <w:bookmarkEnd w:id="8"/>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4"/>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4"/>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4"/>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9" w:name="claude-code-compacted-by-itself"/>
      <w:bookmarkEnd w:id="9"/>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0" w:name="turning-things-off"/>
      <w:bookmarkEnd w:id="1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654"/>
        <w:gridCol w:w="1569"/>
        <w:gridCol w:w="1804"/>
        <w:gridCol w:w="3312"/>
      </w:tblGrid>
      <w:tr>
        <w:trPr>
          <w:tblHeader w:val="true"/>
        </w:trPr>
        <w:tc>
          <w:tcPr>
            <w:tcW w:w="4654" w:type="dxa"/>
            <w:tcBorders/>
            <w:vAlign w:val="center"/>
          </w:tcPr>
          <w:p>
            <w:pPr>
              <w:pStyle w:val="TableHeading"/>
              <w:suppressLineNumbers/>
              <w:shd w:fill="434C5E" w:val="clear"/>
              <w:bidi w:val="0"/>
              <w:spacing w:before="120" w:after="120"/>
              <w:jc w:val="left"/>
              <w:rPr/>
            </w:pPr>
            <w:r>
              <w:rPr/>
              <w:t>Key</w:t>
            </w:r>
          </w:p>
        </w:tc>
        <w:tc>
          <w:tcPr>
            <w:tcW w:w="1569" w:type="dxa"/>
            <w:tcBorders/>
            <w:vAlign w:val="center"/>
          </w:tcPr>
          <w:p>
            <w:pPr>
              <w:pStyle w:val="TableHeading"/>
              <w:suppressLineNumbers/>
              <w:shd w:fill="434C5E" w:val="clear"/>
              <w:bidi w:val="0"/>
              <w:spacing w:before="120" w:after="120"/>
              <w:jc w:val="left"/>
              <w:rPr/>
            </w:pPr>
            <w:r>
              <w:rPr/>
              <w:t>Lives in</w:t>
            </w:r>
          </w:p>
        </w:tc>
        <w:tc>
          <w:tcPr>
            <w:tcW w:w="1804" w:type="dxa"/>
            <w:tcBorders/>
            <w:vAlign w:val="center"/>
          </w:tcPr>
          <w:p>
            <w:pPr>
              <w:pStyle w:val="TableHeading"/>
              <w:suppressLineNumbers/>
              <w:shd w:fill="434C5E" w:val="clear"/>
              <w:bidi w:val="0"/>
              <w:spacing w:before="120" w:after="120"/>
              <w:jc w:val="left"/>
              <w:rPr/>
            </w:pPr>
            <w:r>
              <w:rPr/>
              <w:t>Values</w:t>
            </w:r>
          </w:p>
        </w:tc>
        <w:tc>
          <w:tcPr>
            <w:tcW w:w="3312" w:type="dxa"/>
            <w:tcBorders/>
            <w:vAlign w:val="center"/>
          </w:tcPr>
          <w:p>
            <w:pPr>
              <w:pStyle w:val="TableHeading"/>
              <w:suppressLineNumbers/>
              <w:shd w:fill="434C5E" w:val="clear"/>
              <w:bidi w:val="0"/>
              <w:spacing w:before="120" w:after="120"/>
              <w:jc w:val="left"/>
              <w:rPr/>
            </w:pPr>
            <w:r>
              <w:rPr/>
              <w:t>What "off"/floor means</w:t>
            </w:r>
          </w:p>
        </w:tc>
      </w:tr>
      <w:tr>
        <w:trPr/>
        <w:tc>
          <w:tcPr>
            <w:tcW w:w="4654" w:type="dxa"/>
            <w:tcBorders/>
            <w:vAlign w:val="center"/>
          </w:tcPr>
          <w:p>
            <w:pPr>
              <w:pStyle w:val="TableContents"/>
              <w:shd w:fill="2E3440" w:val="clear"/>
              <w:bidi w:val="0"/>
              <w:spacing w:before="120" w:after="120"/>
              <w:jc w:val="left"/>
              <w:rPr/>
            </w:pPr>
            <w:r>
              <w:rPr>
                <w:rStyle w:val="SourceText"/>
              </w:rPr>
              <w:t>memory.inject</w:t>
            </w:r>
          </w:p>
        </w:tc>
        <w:tc>
          <w:tcPr>
            <w:tcW w:w="1569" w:type="dxa"/>
            <w:tcBorders/>
            <w:vAlign w:val="center"/>
          </w:tcPr>
          <w:p>
            <w:pPr>
              <w:pStyle w:val="TableContents"/>
              <w:shd w:fill="2E3440" w:val="clear"/>
              <w:bidi w:val="0"/>
              <w:spacing w:before="120" w:after="120"/>
              <w:jc w:val="left"/>
              <w:rPr/>
            </w:pPr>
            <w:r>
              <w:rPr/>
              <w:t>repo only</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654" w:type="dxa"/>
            <w:tcBorders/>
            <w:vAlign w:val="center"/>
          </w:tcPr>
          <w:p>
            <w:pPr>
              <w:pStyle w:val="TableContents"/>
              <w:shd w:fill="2E3440" w:val="clear"/>
              <w:bidi w:val="0"/>
              <w:spacing w:before="120" w:after="120"/>
              <w:jc w:val="left"/>
              <w:rPr/>
            </w:pPr>
            <w:r>
              <w:rPr>
                <w:rStyle w:val="SourceText"/>
              </w:rPr>
              <w:t>guards.cloudGuard</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12"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54" w:type="dxa"/>
            <w:tcBorders/>
            <w:vAlign w:val="center"/>
          </w:tcPr>
          <w:p>
            <w:pPr>
              <w:pStyle w:val="TableContents"/>
              <w:shd w:fill="2E3440" w:val="clear"/>
              <w:bidi w:val="0"/>
              <w:spacing w:before="120" w:after="120"/>
              <w:jc w:val="left"/>
              <w:rPr/>
            </w:pPr>
            <w:r>
              <w:rPr>
                <w:rStyle w:val="SourceText"/>
              </w:rPr>
              <w:t>guards.roleWrites</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12"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54"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312"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54"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312"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54" w:type="dxa"/>
            <w:tcBorders/>
            <w:vAlign w:val="center"/>
          </w:tcPr>
          <w:p>
            <w:pPr>
              <w:pStyle w:val="TableContents"/>
              <w:shd w:fill="2E3440" w:val="clear"/>
              <w:bidi w:val="0"/>
              <w:spacing w:before="120" w:after="120"/>
              <w:jc w:val="left"/>
              <w:rPr/>
            </w:pPr>
            <w:r>
              <w:rPr>
                <w:rStyle w:val="SourceText"/>
              </w:rPr>
              <w:t>scope.mode</w:t>
            </w:r>
          </w:p>
        </w:tc>
        <w:tc>
          <w:tcPr>
            <w:tcW w:w="1569" w:type="dxa"/>
            <w:tcBorders/>
            <w:vAlign w:val="center"/>
          </w:tcPr>
          <w:p>
            <w:pPr>
              <w:pStyle w:val="TableContents"/>
              <w:shd w:fill="2E3440" w:val="clear"/>
              <w:bidi w:val="0"/>
              <w:spacing w:before="120" w:after="120"/>
              <w:jc w:val="left"/>
              <w:rPr/>
            </w:pPr>
            <w:r>
              <w:rPr/>
              <w:t>repo only</w:t>
            </w:r>
          </w:p>
        </w:tc>
        <w:tc>
          <w:tcPr>
            <w:tcW w:w="180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312"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54" w:type="dxa"/>
            <w:tcBorders/>
            <w:vAlign w:val="center"/>
          </w:tcPr>
          <w:p>
            <w:pPr>
              <w:pStyle w:val="TableContents"/>
              <w:shd w:fill="2E3440" w:val="clear"/>
              <w:bidi w:val="0"/>
              <w:spacing w:before="120" w:after="120"/>
              <w:jc w:val="left"/>
              <w:rPr/>
            </w:pPr>
            <w:r>
              <w:rPr>
                <w:rStyle w:val="SourceText"/>
              </w:rPr>
              <w:t>scope.allowCliApproval</w:t>
            </w:r>
          </w:p>
        </w:tc>
        <w:tc>
          <w:tcPr>
            <w:tcW w:w="1569" w:type="dxa"/>
            <w:tcBorders/>
            <w:vAlign w:val="center"/>
          </w:tcPr>
          <w:p>
            <w:pPr>
              <w:pStyle w:val="TableContents"/>
              <w:shd w:fill="2E3440" w:val="clear"/>
              <w:bidi w:val="0"/>
              <w:spacing w:before="120" w:after="120"/>
              <w:jc w:val="left"/>
              <w:rPr/>
            </w:pPr>
            <w:r>
              <w:rPr/>
              <w:t>repo only</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w:t>
            </w:r>
          </w:p>
        </w:tc>
      </w:tr>
      <w:tr>
        <w:trPr/>
        <w:tc>
          <w:tcPr>
            <w:tcW w:w="4654" w:type="dxa"/>
            <w:tcBorders/>
            <w:vAlign w:val="center"/>
          </w:tcPr>
          <w:p>
            <w:pPr>
              <w:pStyle w:val="TableContents"/>
              <w:shd w:fill="2E3440" w:val="clear"/>
              <w:bidi w:val="0"/>
              <w:spacing w:before="120" w:after="120"/>
              <w:jc w:val="left"/>
              <w:rPr/>
            </w:pPr>
            <w:r>
              <w:rPr>
                <w:rStyle w:val="SourceText"/>
              </w:rPr>
              <w:t>verifyGate</w:t>
            </w:r>
          </w:p>
        </w:tc>
        <w:tc>
          <w:tcPr>
            <w:tcW w:w="1569" w:type="dxa"/>
            <w:tcBorders/>
            <w:vAlign w:val="center"/>
          </w:tcPr>
          <w:p>
            <w:pPr>
              <w:pStyle w:val="TableContents"/>
              <w:shd w:fill="2E3440" w:val="clear"/>
              <w:bidi w:val="0"/>
              <w:spacing w:before="120" w:after="120"/>
              <w:jc w:val="left"/>
              <w:rPr/>
            </w:pPr>
            <w:r>
              <w:rPr/>
              <w:t>repo only</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54" w:type="dxa"/>
            <w:tcBorders/>
            <w:vAlign w:val="center"/>
          </w:tcPr>
          <w:p>
            <w:pPr>
              <w:pStyle w:val="TableContents"/>
              <w:shd w:fill="2E3440" w:val="clear"/>
              <w:bidi w:val="0"/>
              <w:spacing w:before="120" w:after="120"/>
              <w:jc w:val="left"/>
              <w:rPr/>
            </w:pPr>
            <w:r>
              <w:rPr>
                <w:rStyle w:val="SourceText"/>
              </w:rPr>
              <w:t>context.enabled</w:t>
            </w:r>
          </w:p>
        </w:tc>
        <w:tc>
          <w:tcPr>
            <w:tcW w:w="1569" w:type="dxa"/>
            <w:tcBorders/>
            <w:vAlign w:val="center"/>
          </w:tcPr>
          <w:p>
            <w:pPr>
              <w:pStyle w:val="TableContents"/>
              <w:shd w:fill="2E3440" w:val="clear"/>
              <w:bidi w:val="0"/>
              <w:spacing w:before="120" w:after="120"/>
              <w:jc w:val="left"/>
              <w:rPr/>
            </w:pPr>
            <w:r>
              <w:rPr/>
              <w:t>both layers</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54"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69" w:type="dxa"/>
            <w:tcBorders/>
            <w:vAlign w:val="center"/>
          </w:tcPr>
          <w:p>
            <w:pPr>
              <w:pStyle w:val="TableContents"/>
              <w:shd w:fill="2E3440" w:val="clear"/>
              <w:bidi w:val="0"/>
              <w:spacing w:before="120" w:after="120"/>
              <w:jc w:val="left"/>
              <w:rPr/>
            </w:pPr>
            <w:r>
              <w:rPr/>
              <w:t>both layers</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654" w:type="dxa"/>
            <w:tcBorders/>
            <w:vAlign w:val="center"/>
          </w:tcPr>
          <w:p>
            <w:pPr>
              <w:pStyle w:val="TableContents"/>
              <w:shd w:fill="2E3440" w:val="clear"/>
              <w:bidi w:val="0"/>
              <w:spacing w:before="120" w:after="120"/>
              <w:jc w:val="left"/>
              <w:rPr/>
            </w:pPr>
            <w:r>
              <w:rPr>
                <w:rStyle w:val="SourceText"/>
              </w:rPr>
              <w:t>notify.provider</w:t>
            </w:r>
          </w:p>
        </w:tc>
        <w:tc>
          <w:tcPr>
            <w:tcW w:w="1569" w:type="dxa"/>
            <w:tcBorders/>
            <w:vAlign w:val="center"/>
          </w:tcPr>
          <w:p>
            <w:pPr>
              <w:pStyle w:val="TableContents"/>
              <w:shd w:fill="2E3440" w:val="clear"/>
              <w:bidi w:val="0"/>
              <w:spacing w:before="120" w:after="120"/>
              <w:jc w:val="left"/>
              <w:rPr/>
            </w:pPr>
            <w:r>
              <w:rPr/>
              <w:t>both layers</w:t>
            </w:r>
          </w:p>
        </w:tc>
        <w:tc>
          <w:tcPr>
            <w:tcW w:w="1804"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312"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654" w:type="dxa"/>
            <w:tcBorders/>
            <w:vAlign w:val="center"/>
          </w:tcPr>
          <w:p>
            <w:pPr>
              <w:pStyle w:val="TableContents"/>
              <w:shd w:fill="2E3440" w:val="clear"/>
              <w:bidi w:val="0"/>
              <w:spacing w:before="120" w:after="120"/>
              <w:jc w:val="left"/>
              <w:rPr/>
            </w:pPr>
            <w:r>
              <w:rPr>
                <w:rStyle w:val="SourceText"/>
              </w:rPr>
              <w:t>change.requireForProduction</w:t>
            </w:r>
          </w:p>
        </w:tc>
        <w:tc>
          <w:tcPr>
            <w:tcW w:w="1569" w:type="dxa"/>
            <w:tcBorders/>
            <w:vAlign w:val="center"/>
          </w:tcPr>
          <w:p>
            <w:pPr>
              <w:pStyle w:val="TableContents"/>
              <w:shd w:fill="2E3440" w:val="clear"/>
              <w:bidi w:val="0"/>
              <w:spacing w:before="120" w:after="120"/>
              <w:jc w:val="left"/>
              <w:rPr/>
            </w:pPr>
            <w:r>
              <w:rPr/>
              <w:t>both layers, ratchets (may only turn ON)</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54" w:type="dxa"/>
            <w:tcBorders/>
            <w:vAlign w:val="center"/>
          </w:tcPr>
          <w:p>
            <w:pPr>
              <w:pStyle w:val="TableContents"/>
              <w:shd w:fill="2E3440" w:val="clear"/>
              <w:bidi w:val="0"/>
              <w:spacing w:before="120" w:after="120"/>
              <w:jc w:val="left"/>
              <w:rPr/>
            </w:pPr>
            <w:r>
              <w:rPr>
                <w:rStyle w:val="SourceText"/>
              </w:rPr>
              <w:t>install.policy</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312"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1" w:name="web-testing"/>
      <w:bookmarkEnd w:id="1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15"/>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15"/>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15"/>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2" w:name="windows-notes"/>
      <w:bookmarkEnd w:id="12"/>
      <w:r>
        <w:rPr/>
        <w:t>Windows Notes</w:t>
      </w:r>
    </w:p>
    <w:p>
      <w:pPr>
        <w:pStyle w:val="BodyText"/>
        <w:numPr>
          <w:ilvl w:val="0"/>
          <w:numId w:val="16"/>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16"/>
        </w:numPr>
        <w:tabs>
          <w:tab w:val="clear" w:pos="1134"/>
          <w:tab w:val="left" w:pos="829" w:leader="none"/>
        </w:tabs>
        <w:bidi w:val="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Heading2"/>
        <w:bidi w:val="0"/>
        <w:ind w:hanging="0" w:left="0" w:right="0"/>
        <w:jc w:val="left"/>
        <w:rPr/>
      </w:pPr>
      <w:bookmarkStart w:id="13" w:name="auto-wrap-up-auto-clear-and-auto-resume"/>
      <w:bookmarkEnd w:id="1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4" w:name="what-the-cycle-does"/>
      <w:bookmarkEnd w:id="14"/>
      <w:r>
        <w:rPr/>
        <w:t>What the Cycle Does</w:t>
      </w:r>
    </w:p>
    <w:p>
      <w:pPr>
        <w:pStyle w:val="BodyText"/>
        <w:numPr>
          <w:ilvl w:val="0"/>
          <w:numId w:val="17"/>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17"/>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5" w:name="turning-it-on-and-off"/>
      <w:bookmarkEnd w:id="1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6" w:name="arming-one-scratch-repo-while-other-sess"/>
      <w:bookmarkEnd w:id="16"/>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18"/>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18"/>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18"/>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18"/>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18"/>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18"/>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7" w:name="which-method-and-what-it-does"/>
      <w:bookmarkEnd w:id="17"/>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8" w:name="when-it-will-not-clear-or-notify"/>
      <w:bookmarkEnd w:id="18"/>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19" w:name="which-window-gets-the-keystroke"/>
      <w:bookmarkEnd w:id="19"/>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19"/>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19"/>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19"/>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