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890" w:type="dxa"/>
        <w:jc w:val="left"/>
        <w:tblInd w:w="0" w:type="dxa"/>
        <w:tblLayout w:type="fixed"/>
        <w:tblCellMar>
          <w:top w:w="28" w:type="dxa"/>
          <w:left w:w="28" w:type="dxa"/>
          <w:bottom w:w="28" w:type="dxa"/>
          <w:right w:w="28" w:type="dxa"/>
        </w:tblCellMar>
      </w:tblPr>
      <w:tblGrid>
        <w:gridCol w:w="4948"/>
        <w:gridCol w:w="3984"/>
        <w:gridCol w:w="3958"/>
      </w:tblGrid>
      <w:tr>
        <w:trPr>
          <w:tblHeader w:val="true"/>
        </w:trPr>
        <w:tc>
          <w:tcPr>
            <w:tcW w:w="494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84" w:type="dxa"/>
            <w:tcBorders/>
            <w:vAlign w:val="center"/>
          </w:tcPr>
          <w:p>
            <w:pPr>
              <w:pStyle w:val="TableHeading"/>
              <w:suppressLineNumbers/>
              <w:shd w:fill="434C5E" w:val="clear"/>
              <w:bidi w:val="0"/>
              <w:spacing w:before="120" w:after="120"/>
              <w:jc w:val="left"/>
              <w:rPr/>
            </w:pPr>
            <w:r>
              <w:rPr/>
              <w:t>Means</w:t>
            </w:r>
          </w:p>
        </w:tc>
        <w:tc>
          <w:tcPr>
            <w:tcW w:w="3958" w:type="dxa"/>
            <w:tcBorders/>
            <w:vAlign w:val="center"/>
          </w:tcPr>
          <w:p>
            <w:pPr>
              <w:pStyle w:val="TableHeading"/>
              <w:suppressLineNumbers/>
              <w:shd w:fill="434C5E" w:val="clear"/>
              <w:bidi w:val="0"/>
              <w:spacing w:before="120" w:after="120"/>
              <w:jc w:val="left"/>
              <w:rPr/>
            </w:pPr>
            <w:r>
              <w:rPr/>
              <w:t>Do</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84"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48" w:type="dxa"/>
            <w:tcBorders/>
            <w:vAlign w:val="center"/>
          </w:tcPr>
          <w:p>
            <w:pPr>
              <w:pStyle w:val="TableContents"/>
              <w:shd w:fill="2E3440" w:val="clear"/>
              <w:bidi w:val="0"/>
              <w:spacing w:before="120" w:after="120"/>
              <w:jc w:val="left"/>
              <w:rPr/>
            </w:pPr>
            <w:r>
              <w:rPr>
                <w:rStyle w:val="SourceText"/>
              </w:rPr>
              <w:t>... reads released (...); only done closes it</w:t>
            </w:r>
          </w:p>
        </w:tc>
        <w:tc>
          <w:tcPr>
            <w:tcW w:w="3984" w:type="dxa"/>
            <w:tcBorders/>
            <w:vAlign w:val="center"/>
          </w:tcPr>
          <w:p>
            <w:pPr>
              <w:pStyle w:val="TableContents"/>
              <w:shd w:fill="2E3440" w:val="clear"/>
              <w:bidi w:val="0"/>
              <w:spacing w:before="120" w:after="120"/>
              <w:jc w:val="left"/>
              <w:rPr/>
            </w:pPr>
            <w:r>
              <w:rPr/>
              <w:t>the peer gave the ticket back unfinished</w:t>
            </w:r>
          </w:p>
        </w:tc>
        <w:tc>
          <w:tcPr>
            <w:tcW w:w="39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84" w:type="dxa"/>
            <w:tcBorders/>
            <w:vAlign w:val="center"/>
          </w:tcPr>
          <w:p>
            <w:pPr>
              <w:pStyle w:val="TableContents"/>
              <w:shd w:fill="2E3440" w:val="clear"/>
              <w:bidi w:val="0"/>
              <w:spacing w:before="120" w:after="120"/>
              <w:jc w:val="left"/>
              <w:rPr/>
            </w:pPr>
            <w:r>
              <w:rPr/>
              <w:t>nobody on the channel has claimed that id</w:t>
            </w:r>
          </w:p>
        </w:tc>
        <w:tc>
          <w:tcPr>
            <w:tcW w:w="39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4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84" w:type="dxa"/>
            <w:tcBorders/>
            <w:vAlign w:val="center"/>
          </w:tcPr>
          <w:p>
            <w:pPr>
              <w:pStyle w:val="TableContents"/>
              <w:shd w:fill="2E3440" w:val="clear"/>
              <w:bidi w:val="0"/>
              <w:spacing w:before="120" w:after="120"/>
              <w:jc w:val="left"/>
              <w:rPr/>
            </w:pPr>
            <w:r>
              <w:rPr/>
              <w:t>the short form is ambiguous</w:t>
            </w:r>
          </w:p>
        </w:tc>
        <w:tc>
          <w:tcPr>
            <w:tcW w:w="39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48" w:type="dxa"/>
            <w:tcBorders/>
            <w:vAlign w:val="center"/>
          </w:tcPr>
          <w:p>
            <w:pPr>
              <w:pStyle w:val="TableContents"/>
              <w:shd w:fill="2E3440" w:val="clear"/>
              <w:bidi w:val="0"/>
              <w:spacing w:before="120" w:after="120"/>
              <w:jc w:val="left"/>
              <w:rPr/>
            </w:pPr>
            <w:r>
              <w:rPr>
                <w:rStyle w:val="SourceText"/>
              </w:rPr>
              <w:t>... unknown: its claim ... is corrupt (...)</w:t>
            </w:r>
          </w:p>
        </w:tc>
        <w:tc>
          <w:tcPr>
            <w:tcW w:w="3984" w:type="dxa"/>
            <w:tcBorders/>
            <w:vAlign w:val="center"/>
          </w:tcPr>
          <w:p>
            <w:pPr>
              <w:pStyle w:val="TableContents"/>
              <w:shd w:fill="2E3440" w:val="clear"/>
              <w:bidi w:val="0"/>
              <w:spacing w:before="120" w:after="120"/>
              <w:jc w:val="left"/>
              <w:rPr/>
            </w:pPr>
            <w:r>
              <w:rPr/>
              <w:t>the claim file does not parse</w:t>
            </w:r>
          </w:p>
        </w:tc>
        <w:tc>
          <w:tcPr>
            <w:tcW w:w="39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4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84" w:type="dxa"/>
            <w:tcBorders/>
            <w:vAlign w:val="center"/>
          </w:tcPr>
          <w:p>
            <w:pPr>
              <w:pStyle w:val="TableContents"/>
              <w:shd w:fill="2E3440" w:val="clear"/>
              <w:bidi w:val="0"/>
              <w:spacing w:before="120" w:after="120"/>
              <w:jc w:val="left"/>
              <w:rPr/>
            </w:pPr>
            <w:r>
              <w:rPr/>
              <w:t>the channel is absent, or the remote cannot be reached</w:t>
            </w:r>
          </w:p>
        </w:tc>
        <w:tc>
          <w:tcPr>
            <w:tcW w:w="39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4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84"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48" w:type="dxa"/>
            <w:tcBorders/>
            <w:vAlign w:val="center"/>
          </w:tcPr>
          <w:p>
            <w:pPr>
              <w:pStyle w:val="TableContents"/>
              <w:shd w:fill="2E3440" w:val="clear"/>
              <w:bidi w:val="0"/>
              <w:spacing w:before="120" w:after="120"/>
              <w:jc w:val="left"/>
              <w:rPr/>
            </w:pPr>
            <w:r>
              <w:rPr>
                <w:rStyle w:val="SourceText"/>
              </w:rPr>
              <w:t>dependencies unknown: ...</w:t>
            </w:r>
          </w:p>
        </w:tc>
        <w:tc>
          <w:tcPr>
            <w:tcW w:w="3984"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890" w:type="dxa"/>
        <w:jc w:val="left"/>
        <w:tblInd w:w="0" w:type="dxa"/>
        <w:tblLayout w:type="fixed"/>
        <w:tblCellMar>
          <w:top w:w="28" w:type="dxa"/>
          <w:left w:w="28" w:type="dxa"/>
          <w:bottom w:w="28" w:type="dxa"/>
          <w:right w:w="28" w:type="dxa"/>
        </w:tblCellMar>
      </w:tblPr>
      <w:tblGrid>
        <w:gridCol w:w="2100"/>
        <w:gridCol w:w="4102"/>
        <w:gridCol w:w="6688"/>
      </w:tblGrid>
      <w:tr>
        <w:trPr>
          <w:tblHeader w:val="true"/>
        </w:trPr>
        <w:tc>
          <w:tcPr>
            <w:tcW w:w="2100"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102" w:type="dxa"/>
            <w:tcBorders/>
            <w:vAlign w:val="center"/>
          </w:tcPr>
          <w:p>
            <w:pPr>
              <w:pStyle w:val="TableHeading"/>
              <w:suppressLineNumbers/>
              <w:shd w:fill="434C5E" w:val="clear"/>
              <w:bidi w:val="0"/>
              <w:spacing w:before="120" w:after="120"/>
              <w:jc w:val="left"/>
              <w:rPr/>
            </w:pPr>
            <w:r>
              <w:rPr/>
              <w:t>Means</w:t>
            </w:r>
          </w:p>
        </w:tc>
        <w:tc>
          <w:tcPr>
            <w:tcW w:w="6688" w:type="dxa"/>
            <w:tcBorders/>
            <w:vAlign w:val="center"/>
          </w:tcPr>
          <w:p>
            <w:pPr>
              <w:pStyle w:val="TableHeading"/>
              <w:suppressLineNumbers/>
              <w:shd w:fill="434C5E" w:val="clear"/>
              <w:bidi w:val="0"/>
              <w:spacing w:before="120" w:after="120"/>
              <w:jc w:val="left"/>
              <w:rPr/>
            </w:pPr>
            <w:r>
              <w:rPr/>
              <w:t>Do</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10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688"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unknown (...)</w:t>
            </w:r>
          </w:p>
        </w:tc>
        <w:tc>
          <w:tcPr>
            <w:tcW w:w="410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688"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100" w:type="dxa"/>
            <w:tcBorders/>
            <w:vAlign w:val="center"/>
          </w:tcPr>
          <w:p>
            <w:pPr>
              <w:pStyle w:val="TableContents"/>
              <w:shd w:fill="2E3440" w:val="clear"/>
              <w:bidi w:val="0"/>
              <w:spacing w:before="120" w:after="120"/>
              <w:jc w:val="left"/>
              <w:rPr/>
            </w:pPr>
            <w:r>
              <w:rPr>
                <w:rStyle w:val="SourceText"/>
              </w:rPr>
              <w:t>contract bindings unknown (...)</w:t>
            </w:r>
          </w:p>
        </w:tc>
        <w:tc>
          <w:tcPr>
            <w:tcW w:w="410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688"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claude-code-compacted-by-itself"/>
      <w:bookmarkEnd w:id="17"/>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8" w:name="an-agent-named-in-verifyjson-is-not-inst"/>
      <w:bookmarkEnd w:id="18"/>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9" w:name="the-temp-directory-fills-with-crew-files"/>
      <w:bookmarkEnd w:id="19"/>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0" w:name="a-setting-seems-to-do-nothing"/>
      <w:bookmarkEnd w:id="20"/>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1" w:name="graph-refresh-refused-secrets-denylisted"/>
      <w:bookmarkEnd w:id="21"/>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2" w:name="a-message-from-another-session-asks-for-"/>
      <w:bookmarkEnd w:id="22"/>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3" w:name="turning-things-off"/>
      <w:bookmarkEnd w:id="2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4" w:name="web-testing"/>
      <w:bookmarkEnd w:id="2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5" w:name="windows-notes"/>
      <w:bookmarkEnd w:id="25"/>
      <w:r>
        <w:rPr/>
        <w:t>Windows Notes</w:t>
      </w:r>
    </w:p>
    <w:p>
      <w:pPr>
        <w:pStyle w:val="BodyText"/>
        <w:numPr>
          <w:ilvl w:val="0"/>
          <w:numId w:val="3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6" w:name="auto-wrap-up-auto-clear-and-auto-resume"/>
      <w:bookmarkEnd w:id="2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7" w:name="what-the-cycle-does"/>
      <w:bookmarkEnd w:id="27"/>
      <w:r>
        <w:rPr/>
        <w:t>What the Cycle Does</w:t>
      </w:r>
    </w:p>
    <w:p>
      <w:pPr>
        <w:pStyle w:val="BodyText"/>
        <w:numPr>
          <w:ilvl w:val="0"/>
          <w:numId w:val="3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8" w:name="turning-it-on-and-off"/>
      <w:bookmarkEnd w:id="2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9" w:name="armed-wrap-up-contextautoclearwrapup"/>
      <w:bookmarkEnd w:id="2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0" w:name="arming-one-scratch-repo-while-other-sess"/>
      <w:bookmarkEnd w:id="3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1" w:name="which-method-and-what-it-does"/>
      <w:bookmarkEnd w:id="31"/>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2" w:name="when-it-will-not-clear-or-notify"/>
      <w:bookmarkEnd w:id="3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3" w:name="which-window-gets-the-keystroke"/>
      <w:bookmarkEnd w:id="3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