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Under </w:t>
      </w:r>
      <w:r>
        <w:rPr>
          <w:rStyle w:val="SourceText"/>
        </w:rPr>
        <w:t>/crew:autopilot</w:t>
      </w:r>
      <w:r>
        <w:rPr/>
        <w:t xml:space="preserve">, a final round with a BLOCK stops for you unless you set </w:t>
      </w:r>
      <w:r>
        <w:rPr>
          <w:rStyle w:val="SourceText"/>
        </w:rPr>
        <w:t>autopilot.maxAutoReplans</w:t>
      </w:r>
      <w:r>
        <w:rPr/>
        <w:t xml:space="preserve"> (default </w:t>
      </w:r>
      <w:r>
        <w:rPr>
          <w:rStyle w:val="SourceText"/>
        </w:rPr>
        <w:t>0</w:t>
      </w:r>
      <w:r>
        <w:rPr/>
        <w:t xml:space="preserve">, off): then autopilot rejects it itself, writes a successor plan that quotes every BLOCK and FIX line, approves it under </w:t>
      </w:r>
      <w:r>
        <w:rPr>
          <w:rStyle w:val="SourceText"/>
        </w:rPr>
        <w:t>autopilot.approval</w:t>
      </w:r>
      <w:r>
        <w:rPr/>
        <w:t xml:space="preserve"> and reviews again, at most that many successor plans per ticket.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The review round takes the train itself (L-0526; </w:t>
      </w:r>
      <w:r>
        <w:rPr>
          <w:rStyle w:val="SourceText"/>
        </w:rPr>
        <w:t>crew_train.py acquire --ticket T-0091</w:t>
      </w:r>
      <w:r>
        <w:rPr/>
        <w:t xml:space="preserve"> does the same by hand): a ticket whose Touch overlaps one already holding it waits - </w:t>
      </w:r>
      <w:r>
        <w:rPr>
          <w:rStyle w:val="SourceText"/>
        </w:rPr>
        <w:t>/crew:review</w:t>
      </w:r>
      <w:r>
        <w:rPr/>
        <w:t xml:space="preserve"> stops with exit 10, colliding paths named, no round spent -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and </w:t>
      </w:r>
      <w:r>
        <w:rPr>
          <w:rStyle w:val="SourceText"/>
        </w:rPr>
        <w:t>git add</w:t>
      </w:r>
      <w:r>
        <w:rPr/>
        <w:t xml:space="preserve"> it; the review prompt lists it for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(the train never merges; only autopilot's ship step does, under </w:t>
      </w:r>
      <w:r>
        <w:rPr>
          <w:rStyle w:val="SourceText"/>
        </w:rPr>
        <w:t>autopilot.ship</w:t>
      </w:r>
      <w:r>
        <w:rPr/>
        <w:t xml:space="preserve">).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0" w:type="dxa"/>
        <w:tblLayout w:type="fixed"/>
        <w:tblCellMar>
          <w:top w:w="28" w:type="dxa"/>
          <w:left w:w="28" w:type="dxa"/>
          <w:bottom w:w="28" w:type="dxa"/>
          <w:right w:w="28" w:type="dxa"/>
        </w:tblCellMar>
      </w:tblPr>
      <w:tblGrid>
        <w:gridCol w:w="1472"/>
        <w:gridCol w:w="3793"/>
        <w:gridCol w:w="6074"/>
      </w:tblGrid>
      <w:tr>
        <w:trPr>
          <w:tblHeader w:val="true"/>
        </w:trPr>
        <w:tc>
          <w:tcPr>
            <w:tcW w:w="1472" w:type="dxa"/>
            <w:tcBorders/>
            <w:vAlign w:val="center"/>
          </w:tcPr>
          <w:p>
            <w:pPr>
              <w:pStyle w:val="TableHeading"/>
              <w:suppressLineNumbers/>
              <w:shd w:fill="434C5E" w:val="clear"/>
              <w:bidi w:val="0"/>
              <w:spacing w:before="120" w:after="120"/>
              <w:jc w:val="left"/>
              <w:rPr/>
            </w:pPr>
            <w:r>
              <w:rPr/>
              <w:t>When</w:t>
            </w:r>
          </w:p>
        </w:tc>
        <w:tc>
          <w:tcPr>
            <w:tcW w:w="3793" w:type="dxa"/>
            <w:tcBorders/>
            <w:vAlign w:val="center"/>
          </w:tcPr>
          <w:p>
            <w:pPr>
              <w:pStyle w:val="TableHeading"/>
              <w:suppressLineNumbers/>
              <w:shd w:fill="434C5E" w:val="clear"/>
              <w:bidi w:val="0"/>
              <w:spacing w:before="120" w:after="120"/>
              <w:jc w:val="left"/>
              <w:rPr/>
            </w:pPr>
            <w:r>
              <w:rPr/>
              <w:t>Hook</w:t>
            </w:r>
          </w:p>
        </w:tc>
        <w:tc>
          <w:tcPr>
            <w:tcW w:w="6074" w:type="dxa"/>
            <w:tcBorders/>
            <w:vAlign w:val="center"/>
          </w:tcPr>
          <w:p>
            <w:pPr>
              <w:pStyle w:val="TableHeading"/>
              <w:suppressLineNumbers/>
              <w:shd w:fill="434C5E" w:val="clear"/>
              <w:bidi w:val="0"/>
              <w:spacing w:before="120" w:after="120"/>
              <w:jc w:val="left"/>
              <w:rPr/>
            </w:pPr>
            <w:r>
              <w:rPr/>
              <w:t>Does</w:t>
            </w:r>
          </w:p>
        </w:tc>
      </w:tr>
      <w:tr>
        <w:trPr/>
        <w:tc>
          <w:tcPr>
            <w:tcW w:w="1472" w:type="dxa"/>
            <w:tcBorders/>
            <w:vAlign w:val="center"/>
          </w:tcPr>
          <w:p>
            <w:pPr>
              <w:pStyle w:val="TableContents"/>
              <w:shd w:fill="2E3440" w:val="clear"/>
              <w:bidi w:val="0"/>
              <w:spacing w:before="120" w:after="120"/>
              <w:jc w:val="left"/>
              <w:rPr/>
            </w:pPr>
            <w:r>
              <w:rPr/>
              <w:t>Every write</w:t>
            </w:r>
          </w:p>
        </w:tc>
        <w:tc>
          <w:tcPr>
            <w:tcW w:w="3793"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074"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refuses to end the turn on a red check</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72" w:type="dxa"/>
            <w:tcBorders/>
            <w:vAlign w:val="center"/>
          </w:tcPr>
          <w:p>
            <w:pPr>
              <w:pStyle w:val="TableContents"/>
              <w:shd w:fill="2E3440" w:val="clear"/>
              <w:bidi w:val="0"/>
              <w:spacing w:before="120" w:after="120"/>
              <w:jc w:val="left"/>
              <w:rPr/>
            </w:pPr>
            <w:r>
              <w:rPr/>
              <w:t>Session start</w:t>
            </w:r>
          </w:p>
        </w:tc>
        <w:tc>
          <w:tcPr>
            <w:tcW w:w="3793" w:type="dxa"/>
            <w:tcBorders/>
            <w:vAlign w:val="center"/>
          </w:tcPr>
          <w:p>
            <w:pPr>
              <w:pStyle w:val="TableContents"/>
              <w:shd w:fill="2E3440" w:val="clear"/>
              <w:bidi w:val="0"/>
              <w:spacing w:before="120" w:after="120"/>
              <w:jc w:val="left"/>
              <w:rPr/>
            </w:pPr>
            <w:r>
              <w:rPr/>
              <w:t>context</w:t>
            </w:r>
          </w:p>
        </w:tc>
        <w:tc>
          <w:tcPr>
            <w:tcW w:w="6074"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0" w:type="dxa"/>
        <w:tblLayout w:type="fixed"/>
        <w:tblCellMar>
          <w:top w:w="28" w:type="dxa"/>
          <w:left w:w="28" w:type="dxa"/>
          <w:bottom w:w="28" w:type="dxa"/>
          <w:right w:w="28" w:type="dxa"/>
        </w:tblCellMar>
      </w:tblPr>
      <w:tblGrid>
        <w:gridCol w:w="4169"/>
        <w:gridCol w:w="2808"/>
        <w:gridCol w:w="4362"/>
      </w:tblGrid>
      <w:tr>
        <w:trPr>
          <w:tblHeader w:val="true"/>
        </w:trPr>
        <w:tc>
          <w:tcPr>
            <w:tcW w:w="4169" w:type="dxa"/>
            <w:tcBorders/>
            <w:vAlign w:val="center"/>
          </w:tcPr>
          <w:p>
            <w:pPr>
              <w:pStyle w:val="TableHeading"/>
              <w:suppressLineNumbers/>
              <w:shd w:fill="434C5E" w:val="clear"/>
              <w:bidi w:val="0"/>
              <w:spacing w:before="120" w:after="120"/>
              <w:jc w:val="left"/>
              <w:rPr/>
            </w:pPr>
            <w:r>
              <w:rPr/>
              <w:t>Refusal</w:t>
            </w:r>
          </w:p>
        </w:tc>
        <w:tc>
          <w:tcPr>
            <w:tcW w:w="2808" w:type="dxa"/>
            <w:tcBorders/>
            <w:vAlign w:val="center"/>
          </w:tcPr>
          <w:p>
            <w:pPr>
              <w:pStyle w:val="TableHeading"/>
              <w:suppressLineNumbers/>
              <w:shd w:fill="434C5E" w:val="clear"/>
              <w:bidi w:val="0"/>
              <w:spacing w:before="120" w:after="120"/>
              <w:jc w:val="left"/>
              <w:rPr/>
            </w:pPr>
            <w:r>
              <w:rPr/>
              <w:t>Means</w:t>
            </w:r>
          </w:p>
        </w:tc>
        <w:tc>
          <w:tcPr>
            <w:tcW w:w="4362" w:type="dxa"/>
            <w:tcBorders/>
            <w:vAlign w:val="center"/>
          </w:tcPr>
          <w:p>
            <w:pPr>
              <w:pStyle w:val="TableHeading"/>
              <w:suppressLineNumbers/>
              <w:shd w:fill="434C5E" w:val="clear"/>
              <w:bidi w:val="0"/>
              <w:spacing w:before="120" w:after="120"/>
              <w:jc w:val="left"/>
              <w:rPr/>
            </w:pPr>
            <w:r>
              <w:rPr/>
              <w:t>Do</w:t>
            </w:r>
          </w:p>
        </w:tc>
      </w:tr>
      <w:tr>
        <w:trPr/>
        <w:tc>
          <w:tcPr>
            <w:tcW w:w="4169"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2808"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362"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4169" w:type="dxa"/>
            <w:tcBorders/>
            <w:vAlign w:val="center"/>
          </w:tcPr>
          <w:p>
            <w:pPr>
              <w:pStyle w:val="TableContents"/>
              <w:shd w:fill="2E3440" w:val="clear"/>
              <w:bidi w:val="0"/>
              <w:spacing w:before="120" w:after="120"/>
              <w:jc w:val="left"/>
              <w:rPr/>
            </w:pPr>
            <w:r>
              <w:rPr/>
              <w:t>a write is blocked outside Touch</w:t>
            </w:r>
          </w:p>
        </w:tc>
        <w:tc>
          <w:tcPr>
            <w:tcW w:w="2808" w:type="dxa"/>
            <w:tcBorders/>
            <w:vAlign w:val="center"/>
          </w:tcPr>
          <w:p>
            <w:pPr>
              <w:pStyle w:val="TableContents"/>
              <w:shd w:fill="2E3440" w:val="clear"/>
              <w:bidi w:val="0"/>
              <w:spacing w:before="120" w:after="120"/>
              <w:jc w:val="left"/>
              <w:rPr/>
            </w:pPr>
            <w:r>
              <w:rPr/>
              <w:t>the file isn't in the spec's declared scope</w:t>
            </w:r>
          </w:p>
        </w:tc>
        <w:tc>
          <w:tcPr>
            <w:tcW w:w="4362"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4169"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2808"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4362"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4169"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2808" w:type="dxa"/>
            <w:tcBorders/>
            <w:vAlign w:val="center"/>
          </w:tcPr>
          <w:p>
            <w:pPr>
              <w:pStyle w:val="TableContents"/>
              <w:shd w:fill="2E3440" w:val="clear"/>
              <w:bidi w:val="0"/>
              <w:spacing w:before="120" w:after="120"/>
              <w:jc w:val="left"/>
              <w:rPr/>
            </w:pPr>
            <w:r>
              <w:rPr/>
              <w:t>the review budget (two rounds) is spent</w:t>
            </w:r>
          </w:p>
        </w:tc>
        <w:tc>
          <w:tcPr>
            <w:tcW w:w="4362"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4169" w:type="dxa"/>
            <w:tcBorders/>
            <w:vAlign w:val="center"/>
          </w:tcPr>
          <w:p>
            <w:pPr>
              <w:pStyle w:val="TableContents"/>
              <w:shd w:fill="2E3440" w:val="clear"/>
              <w:bidi w:val="0"/>
              <w:spacing w:before="120" w:after="120"/>
              <w:jc w:val="left"/>
              <w:rPr/>
            </w:pPr>
            <w:r>
              <w:rPr>
                <w:rStyle w:val="SourceText"/>
              </w:rPr>
              <w:t>/crew:autopilot</w:t>
            </w:r>
            <w:r>
              <w:rPr/>
              <w:t xml:space="preserve"> stops at </w:t>
            </w:r>
            <w:r>
              <w:rPr>
                <w:rStyle w:val="SourceText"/>
              </w:rPr>
              <w:t>auto-replan-cap</w:t>
            </w:r>
            <w:r>
              <w:rPr/>
              <w:t xml:space="preserve"> naming </w:t>
            </w:r>
            <w:r>
              <w:rPr>
                <w:rStyle w:val="SourceText"/>
              </w:rPr>
              <w:t>autopilot.maxAutoReplans (&lt;n&gt;) reached</w:t>
            </w:r>
          </w:p>
        </w:tc>
        <w:tc>
          <w:tcPr>
            <w:tcW w:w="2808" w:type="dxa"/>
            <w:tcBorders/>
            <w:vAlign w:val="center"/>
          </w:tcPr>
          <w:p>
            <w:pPr>
              <w:pStyle w:val="TableContents"/>
              <w:shd w:fill="2E3440" w:val="clear"/>
              <w:bidi w:val="0"/>
              <w:spacing w:before="120" w:after="120"/>
              <w:jc w:val="left"/>
              <w:rPr/>
            </w:pPr>
            <w:r>
              <w:rPr/>
              <w:t>the ticket already has that many successor plans on its review ledger, yours included</w:t>
            </w:r>
          </w:p>
        </w:tc>
        <w:tc>
          <w:tcPr>
            <w:tcW w:w="4362" w:type="dxa"/>
            <w:tcBorders/>
            <w:vAlign w:val="center"/>
          </w:tcPr>
          <w:p>
            <w:pPr>
              <w:pStyle w:val="TableContents"/>
              <w:shd w:fill="2E3440" w:val="clear"/>
              <w:bidi w:val="0"/>
              <w:spacing w:before="120" w:after="120"/>
              <w:jc w:val="left"/>
              <w:rPr/>
            </w:pPr>
            <w:r>
              <w:rPr/>
              <w:t>read the listed plans and decide: accept, fix, or redesign; raising the cap is your call, up to 5 (a larger value reads as 5, with a warning)</w:t>
            </w:r>
          </w:p>
        </w:tc>
      </w:tr>
      <w:tr>
        <w:trPr/>
        <w:tc>
          <w:tcPr>
            <w:tcW w:w="4169"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2808" w:type="dxa"/>
            <w:tcBorders/>
            <w:vAlign w:val="center"/>
          </w:tcPr>
          <w:p>
            <w:pPr>
              <w:pStyle w:val="TableContents"/>
              <w:shd w:fill="2E3440" w:val="clear"/>
              <w:bidi w:val="0"/>
              <w:spacing w:before="120" w:after="120"/>
              <w:jc w:val="left"/>
              <w:rPr/>
            </w:pPr>
            <w:r>
              <w:rPr/>
              <w:t>a path outside scope changed, including one a shell command wrote</w:t>
            </w:r>
          </w:p>
        </w:tc>
        <w:tc>
          <w:tcPr>
            <w:tcW w:w="4362"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w:t>
      </w:r>
      <w:r>
        <w:rPr>
          <w:rStyle w:val="SourceText"/>
        </w:rPr>
        <w:t>/crew:autopilot sleep</w:t>
      </w:r>
      <w:r>
        <w:rPr/>
        <w:t xml:space="preserve"> starts sleep mode now, until the window's end (12 hours with no window), and </w:t>
      </w:r>
      <w:r>
        <w:rPr>
          <w:rStyle w:val="SourceText"/>
        </w:rPr>
        <w:t>/crew:autopilot wake</w:t>
      </w:r>
      <w:r>
        <w:rPr/>
        <w:t xml:space="preserve"> ends it now (L-0652); they write only </w:t>
      </w:r>
      <w:r>
        <w:rPr>
          <w:rStyle w:val="SourceText"/>
        </w:rPr>
        <w:t>&lt;git-common-dir&gt;/crew/autopilot-sleep.json</w:t>
      </w:r>
      <w:r>
        <w:rPr/>
        <w:t xml:space="preserve">. Until L-1504 a manual sleep only tightens: outside the window it applies a night value only where it is stricter than the day value. </w:t>
      </w:r>
      <w:r>
        <w:rPr>
          <w:rStyle w:val="SourceText"/>
        </w:rPr>
        <w:t>sleep</w:t>
      </w:r>
      <w:r>
        <w:rPr/>
        <w:t xml:space="preserve"> needs </w:t>
      </w:r>
      <w:r>
        <w:rPr>
          <w:rStyle w:val="SourceText"/>
        </w:rPr>
        <w:t>scope.allowCliApproval: true</w:t>
      </w:r>
      <w:r>
        <w:rPr/>
        <w:t xml:space="preserve"> and an override stricter than its day value, or the window open. Autopilot's one other ledger writer is </w:t>
      </w:r>
      <w:r>
        <w:rPr>
          <w:rStyle w:val="SourceText"/>
        </w:rPr>
        <w:t>crew_autopilot.py auto-reject</w:t>
      </w:r>
      <w:r>
        <w:rPr/>
        <w:t xml:space="preserve"> (T-0074), only with </w:t>
      </w:r>
      <w:r>
        <w:rPr>
          <w:rStyle w:val="SourceText"/>
        </w:rPr>
        <w:t>autopilot.maxAutoReplans</w:t>
      </w:r>
      <w:r>
        <w:rPr/>
        <w:t xml:space="preserve"> set: it moves the ledger REVIEWED -&gt; NEEDS_REPLAN after a final round with a BLOCK.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rStyle w:val="SourceText"/>
        </w:rPr>
        <w:t>.crew/metrics.md</w:t>
      </w:r>
      <w:r>
        <w:rPr/>
        <w:t xml:space="preserve"> is writable with or without an approval: </w:t>
      </w:r>
      <w:r>
        <w:rPr>
          <w:rStyle w:val="SourceText"/>
        </w:rPr>
        <w:t>/crew:review</w:t>
      </w:r>
      <w:r>
        <w:rPr/>
        <w:t xml:space="preserve"> appends its row by hand when the script could not (</w:t>
      </w:r>
      <w:r>
        <w:rPr>
          <w:rStyle w:val="SourceText"/>
        </w:rPr>
        <w:t>crew_ticket.CREW_WRITE_ALLOWED_PATHS</w:t>
      </w:r>
      <w:r>
        <w:rPr/>
        <w:t xml:space="preserve">, that one file). </w:t>
      </w:r>
    </w:p>
    <w:p>
      <w:pPr>
        <w:pStyle w:val="BodyText"/>
        <w:numPr>
          <w:ilvl w:val="0"/>
          <w:numId w:val="6"/>
        </w:numPr>
        <w:tabs>
          <w:tab w:val="clear" w:pos="1134"/>
          <w:tab w:val="left" w:pos="829" w:leader="none"/>
        </w:tabs>
        <w:bidi w:val="0"/>
        <w:spacing w:before="120" w:after="0"/>
        <w:ind w:hanging="283" w:left="829"/>
        <w:jc w:val="left"/>
        <w:rPr/>
      </w:pPr>
      <w:r>
        <w:rPr/>
        <w:t xml:space="preserve">The scope base, the verify gate's records and marker and </w:t>
      </w:r>
      <w:r>
        <w:rPr>
          <w:rStyle w:val="SourceText"/>
        </w:rPr>
        <w:t>.crew/metrics.jsonl</w:t>
      </w:r>
      <w:r>
        <w:rPr/>
        <w:t xml:space="preserve"> are refused to Write/Edit in every mode but </w:t>
      </w:r>
      <w:r>
        <w:rPr>
          <w:rStyle w:val="SourceText"/>
        </w:rPr>
        <w:t>off</w:t>
      </w:r>
      <w:r>
        <w:rPr/>
        <w:t xml:space="preserve">, even inside Touch: the audit and the review bundle leave them out, so a write to them would be invisible.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and the metrics row (</w:t>
      </w:r>
      <w:r>
        <w:rPr>
          <w:rStyle w:val="SourceText"/>
        </w:rPr>
        <w:t>config.json</w:t>
      </w:r>
      <w:r>
        <w:rPr/>
        <w:t xml:space="preserve">, </w:t>
      </w:r>
      <w:r>
        <w:rPr>
          <w:rStyle w:val="SourceText"/>
        </w:rPr>
        <w:t>verify.json</w:t>
      </w:r>
      <w:r>
        <w:rPr/>
        <w:t xml:space="preserve">, </w:t>
      </w:r>
      <w:r>
        <w:rPr>
          <w:rStyle w:val="SourceText"/>
        </w:rPr>
        <w:t>standards.md</w:t>
      </w:r>
      <w:r>
        <w:rPr/>
        <w:t xml:space="preserve">, and files crew writes but also trusts, such as </w:t>
      </w:r>
      <w:r>
        <w:rPr>
          <w:rStyle w:val="SourceText"/>
        </w:rPr>
        <w:t>.crew/tfplan/</w:t>
      </w:r>
      <w:r>
        <w:rPr/>
        <w:t xml:space="preserve">, </w:t>
      </w:r>
      <w:r>
        <w:rPr>
          <w:rStyle w:val="SourceText"/>
        </w:rPr>
        <w:t>incident.json</w:t>
      </w:r>
      <w:r>
        <w:rPr/>
        <w:t xml:space="preserve"> and </w:t>
      </w:r>
      <w:r>
        <w:rPr>
          <w:rStyle w:val="SourceText"/>
        </w:rPr>
        <w:t>.deploy-in-flight</w:t>
      </w:r>
      <w:r>
        <w:rPr/>
        <w:t xml:space="preserve">),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xml:space="preserve">,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 crew's own ticket-flow bookkeeping (the scope base, the gate's records, the metrics files) is never a changed path, whatever </w:t>
      </w:r>
      <w:r>
        <w:rPr>
          <w:rStyle w:val="SourceText"/>
        </w:rPr>
        <w:t>.gitignore</w:t>
      </w:r>
      <w:r>
        <w:rPr/>
        <w:t xml:space="preserve"> says, so a </w:t>
      </w:r>
      <w:r>
        <w:rPr>
          <w:rStyle w:val="SourceText"/>
        </w:rPr>
        <w:t>.crew/</w:t>
      </w:r>
      <w:r>
        <w:rPr/>
        <w:t xml:space="preserve"> path the audit lists (say </w:t>
      </w:r>
      <w:r>
        <w:rPr>
          <w:rStyle w:val="SourceText"/>
        </w:rPr>
        <w:t>.crew/verify.json</w:t>
      </w:r>
      <w:r>
        <w:rPr/>
        <w:t xml:space="preserve"> or a committed </w:t>
      </w:r>
      <w:r>
        <w:rPr>
          <w:rStyle w:val="SourceText"/>
        </w:rPr>
        <w:t>.crew/incident.json</w:t>
      </w:r>
      <w:r>
        <w:rPr/>
        <w:t>) is a real finding, not crew's noise.</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With </w:t>
      </w:r>
      <w:r>
        <w:rPr>
          <w:rStyle w:val="SourceText"/>
        </w:rPr>
        <w:t>autopilot.maxAutoReplans</w:t>
      </w:r>
      <w:r>
        <w:rPr/>
        <w:t xml:space="preserve"> at 1 or more, autopilot does this itself for a final round with a BLOCK (</w:t>
      </w:r>
      <w:r>
        <w:rPr>
          <w:rStyle w:val="SourceText"/>
        </w:rPr>
        <w:t>auto-reject</w:t>
      </w:r>
      <w:r>
        <w:rPr/>
        <w:t xml:space="preserve">), then writes and approves the successor plan under </w:t>
      </w:r>
      <w:r>
        <w:rPr>
          <w:rStyle w:val="SourceText"/>
        </w:rPr>
        <w:t>autopilot.approval</w:t>
      </w:r>
      <w:r>
        <w:rPr/>
        <w:t xml:space="preserve">; the cap counts every successor plan on the ledger.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0" w:type="dxa"/>
        <w:tblLayout w:type="fixed"/>
        <w:tblCellMar>
          <w:top w:w="28" w:type="dxa"/>
          <w:left w:w="28" w:type="dxa"/>
          <w:bottom w:w="28" w:type="dxa"/>
          <w:right w:w="28" w:type="dxa"/>
        </w:tblCellMar>
      </w:tblPr>
      <w:tblGrid>
        <w:gridCol w:w="946"/>
        <w:gridCol w:w="10393"/>
      </w:tblGrid>
      <w:tr>
        <w:trPr>
          <w:tblHeader w:val="true"/>
        </w:trPr>
        <w:tc>
          <w:tcPr>
            <w:tcW w:w="946" w:type="dxa"/>
            <w:tcBorders/>
            <w:vAlign w:val="center"/>
          </w:tcPr>
          <w:p>
            <w:pPr>
              <w:pStyle w:val="TableHeading"/>
              <w:suppressLineNumbers/>
              <w:shd w:fill="434C5E" w:val="clear"/>
              <w:bidi w:val="0"/>
              <w:spacing w:before="120" w:after="120"/>
              <w:jc w:val="left"/>
              <w:rPr/>
            </w:pPr>
            <w:r>
              <w:rPr/>
              <w:t>Value</w:t>
            </w:r>
          </w:p>
        </w:tc>
        <w:tc>
          <w:tcPr>
            <w:tcW w:w="10393" w:type="dxa"/>
            <w:tcBorders/>
            <w:vAlign w:val="center"/>
          </w:tcPr>
          <w:p>
            <w:pPr>
              <w:pStyle w:val="TableHeading"/>
              <w:suppressLineNumbers/>
              <w:shd w:fill="434C5E" w:val="clear"/>
              <w:bidi w:val="0"/>
              <w:spacing w:before="120" w:after="120"/>
              <w:jc w:val="left"/>
              <w:rPr/>
            </w:pPr>
            <w:r>
              <w:rPr/>
              <w:t>What happens</w:t>
            </w:r>
          </w:p>
        </w:tc>
      </w:tr>
      <w:tr>
        <w:trPr/>
        <w:tc>
          <w:tcPr>
            <w:tcW w:w="946" w:type="dxa"/>
            <w:tcBorders/>
            <w:vAlign w:val="center"/>
          </w:tcPr>
          <w:p>
            <w:pPr>
              <w:pStyle w:val="TableContents"/>
              <w:shd w:fill="2E3440" w:val="clear"/>
              <w:bidi w:val="0"/>
              <w:spacing w:before="120" w:after="120"/>
              <w:jc w:val="left"/>
              <w:rPr/>
            </w:pPr>
            <w:r>
              <w:rPr>
                <w:rStyle w:val="SourceText"/>
              </w:rPr>
              <w:t>off</w:t>
            </w:r>
          </w:p>
        </w:tc>
        <w:tc>
          <w:tcPr>
            <w:tcW w:w="10393" w:type="dxa"/>
            <w:tcBorders/>
            <w:vAlign w:val="center"/>
          </w:tcPr>
          <w:p>
            <w:pPr>
              <w:pStyle w:val="TableContents"/>
              <w:shd w:fill="2E3440" w:val="clear"/>
              <w:bidi w:val="0"/>
              <w:spacing w:before="120" w:after="120"/>
              <w:jc w:val="left"/>
              <w:rPr/>
            </w:pPr>
            <w:r>
              <w:rPr/>
              <w:t>Default. Neither hook does anything.</w:t>
            </w:r>
          </w:p>
        </w:tc>
      </w:tr>
      <w:tr>
        <w:trPr/>
        <w:tc>
          <w:tcPr>
            <w:tcW w:w="946" w:type="dxa"/>
            <w:tcBorders/>
            <w:vAlign w:val="center"/>
          </w:tcPr>
          <w:p>
            <w:pPr>
              <w:pStyle w:val="TableContents"/>
              <w:shd w:fill="2E3440" w:val="clear"/>
              <w:bidi w:val="0"/>
              <w:spacing w:before="120" w:after="120"/>
              <w:jc w:val="left"/>
              <w:rPr/>
            </w:pPr>
            <w:r>
              <w:rPr>
                <w:rStyle w:val="SourceText"/>
              </w:rPr>
              <w:t>report</w:t>
            </w:r>
          </w:p>
        </w:tc>
        <w:tc>
          <w:tcPr>
            <w:tcW w:w="10393"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6" w:type="dxa"/>
            <w:tcBorders/>
            <w:vAlign w:val="center"/>
          </w:tcPr>
          <w:p>
            <w:pPr>
              <w:pStyle w:val="TableContents"/>
              <w:shd w:fill="2E3440" w:val="clear"/>
              <w:bidi w:val="0"/>
              <w:spacing w:before="120" w:after="120"/>
              <w:jc w:val="left"/>
              <w:rPr/>
            </w:pPr>
            <w:r>
              <w:rPr>
                <w:rStyle w:val="SourceText"/>
              </w:rPr>
              <w:t>block</w:t>
            </w:r>
          </w:p>
        </w:tc>
        <w:tc>
          <w:tcPr>
            <w:tcW w:w="10393" w:type="dxa"/>
            <w:tcBorders/>
            <w:vAlign w:val="center"/>
          </w:tcPr>
          <w:p>
            <w:pPr>
              <w:pStyle w:val="TableContents"/>
              <w:shd w:fill="2E3440" w:val="clear"/>
              <w:bidi w:val="0"/>
              <w:spacing w:before="120" w:after="120"/>
              <w:jc w:val="left"/>
              <w:rPr/>
            </w:pPr>
            <w:r>
              <w:rPr/>
              <w:t>Refusals block.</w:t>
            </w:r>
          </w:p>
        </w:tc>
      </w:tr>
      <w:tr>
        <w:trPr/>
        <w:tc>
          <w:tcPr>
            <w:tcW w:w="946" w:type="dxa"/>
            <w:tcBorders/>
            <w:vAlign w:val="center"/>
          </w:tcPr>
          <w:p>
            <w:pPr>
              <w:pStyle w:val="TableContents"/>
              <w:shd w:fill="2E3440" w:val="clear"/>
              <w:bidi w:val="0"/>
              <w:spacing w:before="120" w:after="120"/>
              <w:jc w:val="left"/>
              <w:rPr/>
            </w:pPr>
            <w:r>
              <w:rPr>
                <w:rStyle w:val="SourceText"/>
              </w:rPr>
              <w:t>auto</w:t>
            </w:r>
          </w:p>
        </w:tc>
        <w:tc>
          <w:tcPr>
            <w:tcW w:w="10393"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