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4698" w:type="dxa"/>
        <w:jc w:val="left"/>
        <w:tblInd w:w="0" w:type="dxa"/>
        <w:tblLayout w:type="fixed"/>
        <w:tblCellMar>
          <w:top w:w="28" w:type="dxa"/>
          <w:left w:w="28" w:type="dxa"/>
          <w:bottom w:w="28" w:type="dxa"/>
          <w:right w:w="28" w:type="dxa"/>
        </w:tblCellMar>
      </w:tblPr>
      <w:tblGrid>
        <w:gridCol w:w="1621"/>
        <w:gridCol w:w="1411"/>
        <w:gridCol w:w="1666"/>
      </w:tblGrid>
      <w:tr>
        <w:trPr>
          <w:tblHeader w:val="true"/>
        </w:trPr>
        <w:tc>
          <w:tcPr>
            <w:tcW w:w="1621" w:type="dxa"/>
            <w:tcBorders/>
            <w:vAlign w:val="center"/>
          </w:tcPr>
          <w:p>
            <w:pPr>
              <w:pStyle w:val="TableHeading"/>
              <w:suppressLineNumbers/>
              <w:shd w:fill="434C5E" w:val="clear"/>
              <w:bidi w:val="0"/>
              <w:spacing w:before="120" w:after="120"/>
              <w:jc w:val="left"/>
              <w:rPr/>
            </w:pPr>
            <w:r>
              <w:rPr/>
              <w:t>Surface</w:t>
            </w:r>
          </w:p>
        </w:tc>
        <w:tc>
          <w:tcPr>
            <w:tcW w:w="1411" w:type="dxa"/>
            <w:tcBorders/>
            <w:vAlign w:val="center"/>
          </w:tcPr>
          <w:p>
            <w:pPr>
              <w:pStyle w:val="TableHeading"/>
              <w:suppressLineNumbers/>
              <w:shd w:fill="434C5E" w:val="clear"/>
              <w:bidi w:val="0"/>
              <w:spacing w:before="120" w:after="120"/>
              <w:jc w:val="left"/>
              <w:rPr/>
            </w:pPr>
            <w:r>
              <w:rPr/>
              <w:t>Claude Code</w:t>
            </w:r>
          </w:p>
        </w:tc>
        <w:tc>
          <w:tcPr>
            <w:tcW w:w="1666" w:type="dxa"/>
            <w:tcBorders/>
            <w:vAlign w:val="center"/>
          </w:tcPr>
          <w:p>
            <w:pPr>
              <w:pStyle w:val="TableHeading"/>
              <w:suppressLineNumbers/>
              <w:shd w:fill="434C5E" w:val="clear"/>
              <w:bidi w:val="0"/>
              <w:spacing w:before="120" w:after="120"/>
              <w:jc w:val="left"/>
              <w:rPr/>
            </w:pPr>
            <w:r>
              <w:rPr/>
              <w:t>Codex</w:t>
            </w:r>
          </w:p>
        </w:tc>
      </w:tr>
      <w:tr>
        <w:trPr/>
        <w:tc>
          <w:tcPr>
            <w:tcW w:w="1621"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1411"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1666" w:type="dxa"/>
            <w:tcBorders/>
            <w:vAlign w:val="center"/>
          </w:tcPr>
          <w:p>
            <w:pPr>
              <w:pStyle w:val="TableContents"/>
              <w:shd w:fill="2E3440" w:val="clear"/>
              <w:bidi w:val="0"/>
              <w:spacing w:before="120" w:after="120"/>
              <w:jc w:val="left"/>
              <w:rPr/>
            </w:pPr>
            <w:r>
              <w:rPr/>
              <w:t>natively</w:t>
            </w:r>
          </w:p>
        </w:tc>
      </w:tr>
      <w:tr>
        <w:trPr/>
        <w:tc>
          <w:tcPr>
            <w:tcW w:w="1621"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1411" w:type="dxa"/>
            <w:tcBorders/>
            <w:vAlign w:val="center"/>
          </w:tcPr>
          <w:p>
            <w:pPr>
              <w:pStyle w:val="TableContents"/>
              <w:shd w:fill="2E3440" w:val="clear"/>
              <w:bidi w:val="0"/>
              <w:spacing w:before="120" w:after="120"/>
              <w:jc w:val="left"/>
              <w:rPr/>
            </w:pPr>
            <w:r>
              <w:rPr/>
              <w:t>yes, when a matching file is read</w:t>
            </w:r>
          </w:p>
        </w:tc>
        <w:tc>
          <w:tcPr>
            <w:tcW w:w="1666"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1621" w:type="dxa"/>
            <w:tcBorders/>
            <w:vAlign w:val="center"/>
          </w:tcPr>
          <w:p>
            <w:pPr>
              <w:pStyle w:val="TableContents"/>
              <w:shd w:fill="2E3440" w:val="clear"/>
              <w:bidi w:val="0"/>
              <w:spacing w:before="120" w:after="120"/>
              <w:jc w:val="left"/>
              <w:rPr/>
            </w:pPr>
            <w:r>
              <w:rPr/>
              <w:t>crew's context hook</w:t>
            </w:r>
          </w:p>
        </w:tc>
        <w:tc>
          <w:tcPr>
            <w:tcW w:w="1411"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1666"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1621" w:type="dxa"/>
            <w:tcBorders/>
            <w:vAlign w:val="center"/>
          </w:tcPr>
          <w:p>
            <w:pPr>
              <w:pStyle w:val="TableContents"/>
              <w:shd w:fill="2E3440" w:val="clear"/>
              <w:bidi w:val="0"/>
              <w:spacing w:before="120" w:after="120"/>
              <w:jc w:val="left"/>
              <w:rPr/>
            </w:pPr>
            <w:r>
              <w:rPr>
                <w:rStyle w:val="SourceText"/>
              </w:rPr>
              <w:t>CLAUDE.md</w:t>
            </w:r>
          </w:p>
        </w:tc>
        <w:tc>
          <w:tcPr>
            <w:tcW w:w="1411" w:type="dxa"/>
            <w:tcBorders/>
            <w:vAlign w:val="center"/>
          </w:tcPr>
          <w:p>
            <w:pPr>
              <w:pStyle w:val="TableContents"/>
              <w:shd w:fill="2E3440" w:val="clear"/>
              <w:bidi w:val="0"/>
              <w:spacing w:before="120" w:after="120"/>
              <w:jc w:val="left"/>
              <w:rPr/>
            </w:pPr>
            <w:r>
              <w:rPr/>
              <w:t>natively</w:t>
            </w:r>
          </w:p>
        </w:tc>
        <w:tc>
          <w:tcPr>
            <w:tcW w:w="1666"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A refunded round that was not a usage limit or a timeout is retried once by </w:t>
      </w:r>
      <w:r>
        <w:rPr>
          <w:rStyle w:val="SourceText"/>
        </w:rPr>
        <w:t>review_run.py</w:t>
      </w:r>
      <w:r>
        <w:rPr/>
        <w:t xml:space="preserve"> itself, after a 30-second backoff; a </w:t>
      </w:r>
      <w:r>
        <w:rPr>
          <w:rStyle w:val="SourceText"/>
        </w:rPr>
        <w:t>review: retry:</w:t>
      </w:r>
      <w:r>
        <w:rPr/>
        <w:t xml:space="preserve"> line says whether it was, and why not.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9) before it.</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9,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 xml:space="preserve">. When the verify gate has not passed the tree, the prompt's test receipts keep their </w:t>
      </w:r>
      <w:r>
        <w:rPr>
          <w:rStyle w:val="SourceText"/>
        </w:rPr>
        <w:t>MISSING</w:t>
      </w:r>
      <w:r>
        <w:rPr/>
        <w:t xml:space="preserve"> and </w:t>
      </w:r>
      <w:r>
        <w:rPr>
          <w:rStyle w:val="SourceText"/>
        </w:rPr>
        <w:t>Gate answer for HEAD</w:t>
      </w:r>
      <w:r>
        <w:rPr/>
        <w:t xml:space="preserve"> lines and add one line saying such a round runs only under </w:t>
      </w:r>
      <w:r>
        <w:rPr>
          <w:rStyle w:val="SourceText"/>
        </w:rPr>
        <w:t>--allow-unverified</w:t>
      </w:r>
      <w:r>
        <w:rPr/>
        <w:t xml:space="preserve">, recorded as </w:t>
      </w:r>
      <w:r>
        <w:rPr>
          <w:rStyle w:val="SourceText"/>
        </w:rPr>
        <w:t>gate.overridden</w:t>
      </w:r>
      <w:r>
        <w:rPr/>
        <w:t xml:space="preserve"> in </w:t>
      </w:r>
      <w:r>
        <w:rPr>
          <w:rStyle w:val="SourceText"/>
        </w:rPr>
        <w:t>review.json</w:t>
      </w:r>
      <w:r>
        <w:rPr/>
        <w:t xml:space="preserve">, that </w:t>
      </w:r>
      <w:r>
        <w:rPr>
          <w:rStyle w:val="SourceText"/>
        </w:rPr>
        <w:t>/crew:done</w:t>
      </w:r>
      <w:r>
        <w:rPr/>
        <w:t xml:space="preserve"> still needs a clean gate, and that the missing pass alone is that recorded override, not a defect (T-0101).</w:t>
      </w:r>
    </w:p>
    <w:p>
      <w:pPr>
        <w:pStyle w:val="BodyText"/>
        <w:bidi w:val="0"/>
        <w:jc w:val="left"/>
        <w:rPr/>
      </w:pPr>
      <w:r>
        <w:rPr/>
        <w:t>Once the clone's merge train is armed (</w:t>
      </w:r>
      <w:r>
        <w:rPr>
          <w:rStyle w:val="SourceText"/>
        </w:rPr>
        <w:t>crew_train.py arm</w:t>
      </w:r>
      <w:r>
        <w:rPr/>
        <w:t xml:space="preserve">), the gate round takes it before any of that linting (L-0526): after the CLEAN receipt and the verify gate, </w:t>
      </w:r>
      <w:r>
        <w:rPr>
          <w:rStyle w:val="SourceText"/>
        </w:rPr>
        <w:t>review_run.py</w:t>
      </w:r>
      <w:r>
        <w:rPr/>
        <w:t xml:space="preserve"> calls </w:t>
      </w:r>
      <w:r>
        <w:rPr>
          <w:rStyle w:val="SourceText"/>
        </w:rPr>
        <w:t>crew_train.acquire</w:t>
      </w:r>
      <w:r>
        <w:rPr/>
        <w:t xml:space="preserve">, and a ticket that is waiting behind an overlapping one, must merge its base first, or meets a train it cannot read is refused with exit 10, nothing spent and Codex not launched. An unarmed clone never asks. The prompt also carries a </w:t>
      </w:r>
      <w:r>
        <w:rPr>
          <w:rStyle w:val="SourceText"/>
        </w:rPr>
        <w:t>== Catch-up merges (rerere) ==</w:t>
      </w:r>
      <w:r>
        <w:rPr/>
        <w:t xml:space="preserve"> block listing every file a catch-up merge replayed from an earlier rerere resolution, so Codex reviews each as a change; a merge log it cannot read is written there as </w:t>
      </w:r>
      <w:r>
        <w:rPr>
          <w:rStyle w:val="SourceText"/>
        </w:rPr>
        <w:t>UNREADABLE</w:t>
      </w:r>
      <w:r>
        <w:rPr/>
        <w:t>.</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