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(the PowerShell gate, deleted in L-0869, only; no current message):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the gate itself was signalled mid-rule; it still exits 128+N.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448"/>
        <w:gridCol w:w="4100"/>
        <w:gridCol w:w="2361"/>
        <w:gridCol w:w="4017"/>
      </w:tblGrid>
      <w:tr>
        <w:trPr>
          <w:tblHeader w:val="true"/>
        </w:trPr>
        <w:tc>
          <w:tcPr>
            <w:tcW w:w="2448"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361" w:type="dxa"/>
            <w:tcBorders/>
            <w:vAlign w:val="center"/>
          </w:tcPr>
          <w:p>
            <w:pPr>
              <w:pStyle w:val="TableHeading"/>
              <w:suppressLineNumbers/>
              <w:shd w:fill="434C5E" w:val="clear"/>
              <w:bidi w:val="0"/>
              <w:spacing w:before="120" w:after="120"/>
              <w:jc w:val="left"/>
              <w:rPr/>
            </w:pPr>
            <w:r>
              <w:rPr/>
              <w:t>Value</w:t>
            </w:r>
          </w:p>
        </w:tc>
        <w:tc>
          <w:tcPr>
            <w:tcW w:w="4017" w:type="dxa"/>
            <w:tcBorders/>
            <w:vAlign w:val="center"/>
          </w:tcPr>
          <w:p>
            <w:pPr>
              <w:pStyle w:val="TableHeading"/>
              <w:suppressLineNumbers/>
              <w:shd w:fill="434C5E" w:val="clear"/>
              <w:bidi w:val="0"/>
              <w:spacing w:before="120" w:after="120"/>
              <w:jc w:val="left"/>
              <w:rPr/>
            </w:pPr>
            <w:r>
              <w:rPr/>
              <w:t>Effect</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36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017"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361" w:type="dxa"/>
            <w:tcBorders/>
            <w:vAlign w:val="center"/>
          </w:tcPr>
          <w:p>
            <w:pPr>
              <w:pStyle w:val="TableContents"/>
              <w:shd w:fill="2E3440" w:val="clear"/>
              <w:bidi w:val="0"/>
              <w:spacing w:before="120" w:after="120"/>
              <w:jc w:val="left"/>
              <w:rPr/>
            </w:pPr>
            <w:r>
              <w:rPr/>
              <w:t>a substring of the terminal's title</w:t>
            </w:r>
          </w:p>
        </w:tc>
        <w:tc>
          <w:tcPr>
            <w:tcW w:w="4017"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361" w:type="dxa"/>
            <w:tcBorders/>
            <w:vAlign w:val="center"/>
          </w:tcPr>
          <w:p>
            <w:pPr>
              <w:pStyle w:val="TableContents"/>
              <w:shd w:fill="2E3440" w:val="clear"/>
              <w:bidi w:val="0"/>
              <w:spacing w:before="120" w:after="120"/>
              <w:jc w:val="left"/>
              <w:rPr/>
            </w:pPr>
            <w:r>
              <w:rPr>
                <w:rStyle w:val="SourceText"/>
              </w:rPr>
              <w:t>3</w:t>
            </w:r>
          </w:p>
        </w:tc>
        <w:tc>
          <w:tcPr>
            <w:tcW w:w="4017" w:type="dxa"/>
            <w:tcBorders/>
            <w:vAlign w:val="center"/>
          </w:tcPr>
          <w:p>
            <w:pPr>
              <w:pStyle w:val="TableContents"/>
              <w:shd w:fill="2E3440" w:val="clear"/>
              <w:bidi w:val="0"/>
              <w:spacing w:before="120" w:after="120"/>
              <w:jc w:val="left"/>
              <w:rPr/>
            </w:pPr>
            <w:r>
              <w:rPr/>
              <w:t>wait before typing, so the prompt exists</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361" w:type="dxa"/>
            <w:tcBorders/>
            <w:vAlign w:val="center"/>
          </w:tcPr>
          <w:p>
            <w:pPr>
              <w:pStyle w:val="TableContents"/>
              <w:shd w:fill="2E3440" w:val="clear"/>
              <w:bidi w:val="0"/>
              <w:spacing w:before="120" w:after="120"/>
              <w:jc w:val="left"/>
              <w:rPr/>
            </w:pPr>
            <w:r>
              <w:rPr>
                <w:rStyle w:val="SourceText"/>
              </w:rPr>
              <w:t>5</w:t>
            </w:r>
          </w:p>
        </w:tc>
        <w:tc>
          <w:tcPr>
            <w:tcW w:w="4017" w:type="dxa"/>
            <w:tcBorders/>
            <w:vAlign w:val="center"/>
          </w:tcPr>
          <w:p>
            <w:pPr>
              <w:pStyle w:val="TableContents"/>
              <w:shd w:fill="2E3440" w:val="clear"/>
              <w:bidi w:val="0"/>
              <w:spacing w:before="120" w:after="120"/>
              <w:jc w:val="left"/>
              <w:rPr/>
            </w:pPr>
            <w:r>
              <w:rPr/>
              <w:t>a shorter handoff counts as a stub</w:t>
            </w:r>
          </w:p>
        </w:tc>
      </w:tr>
      <w:tr>
        <w:trPr/>
        <w:tc>
          <w:tcPr>
            <w:tcW w:w="2448"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48"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turns off the whole context watcher, wrap-up included</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8166"/>
        <w:gridCol w:w="3580"/>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166" w:type="dxa"/>
            <w:tcBorders/>
            <w:vAlign w:val="center"/>
          </w:tcPr>
          <w:p>
            <w:pPr>
              <w:pStyle w:val="TableHeading"/>
              <w:suppressLineNumbers/>
              <w:shd w:fill="434C5E" w:val="clear"/>
              <w:bidi w:val="0"/>
              <w:spacing w:before="120" w:after="120"/>
              <w:jc w:val="left"/>
              <w:rPr/>
            </w:pPr>
            <w:r>
              <w:rPr/>
              <w:t>What it does</w:t>
            </w:r>
          </w:p>
        </w:tc>
        <w:tc>
          <w:tcPr>
            <w:tcW w:w="3580"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16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580"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16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580"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16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580"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16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580"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166" w:type="dxa"/>
            <w:tcBorders/>
            <w:vAlign w:val="center"/>
          </w:tcPr>
          <w:p>
            <w:pPr>
              <w:pStyle w:val="TableContents"/>
              <w:shd w:fill="2E3440" w:val="clear"/>
              <w:bidi w:val="0"/>
              <w:spacing w:before="120" w:after="120"/>
              <w:jc w:val="left"/>
              <w:rPr/>
            </w:pPr>
            <w:r>
              <w:rPr/>
              <w:t>Refused outright.</w:t>
            </w:r>
          </w:p>
        </w:tc>
        <w:tc>
          <w:tcPr>
            <w:tcW w:w="3580"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