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5148" w:type="dxa"/>
        <w:jc w:val="left"/>
        <w:tblInd w:w="0" w:type="dxa"/>
        <w:tblLayout w:type="fixed"/>
        <w:tblCellMar>
          <w:top w:w="28" w:type="dxa"/>
          <w:left w:w="28" w:type="dxa"/>
          <w:bottom w:w="28" w:type="dxa"/>
          <w:right w:w="28" w:type="dxa"/>
        </w:tblCellMar>
      </w:tblPr>
      <w:tblGrid>
        <w:gridCol w:w="1801"/>
        <w:gridCol w:w="3347"/>
      </w:tblGrid>
      <w:tr>
        <w:trPr>
          <w:tblHeader w:val="true"/>
        </w:trPr>
        <w:tc>
          <w:tcPr>
            <w:tcW w:w="1801" w:type="dxa"/>
            <w:tcBorders/>
            <w:vAlign w:val="center"/>
          </w:tcPr>
          <w:p>
            <w:pPr>
              <w:pStyle w:val="TableHeading"/>
              <w:suppressLineNumbers/>
              <w:shd w:fill="434C5E" w:val="clear"/>
              <w:bidi w:val="0"/>
              <w:spacing w:before="120" w:after="120"/>
              <w:jc w:val="left"/>
              <w:rPr/>
            </w:pPr>
            <w:r>
              <w:rPr/>
              <w:t>When</w:t>
            </w:r>
          </w:p>
        </w:tc>
        <w:tc>
          <w:tcPr>
            <w:tcW w:w="3347" w:type="dxa"/>
            <w:tcBorders/>
            <w:vAlign w:val="center"/>
          </w:tcPr>
          <w:p>
            <w:pPr>
              <w:pStyle w:val="TableHeading"/>
              <w:suppressLineNumbers/>
              <w:shd w:fill="434C5E" w:val="clear"/>
              <w:bidi w:val="0"/>
              <w:spacing w:before="120" w:after="120"/>
              <w:jc w:val="left"/>
              <w:rPr/>
            </w:pPr>
            <w:r>
              <w:rPr/>
              <w:t>Do</w:t>
            </w:r>
          </w:p>
        </w:tc>
      </w:tr>
      <w:tr>
        <w:trPr/>
        <w:tc>
          <w:tcPr>
            <w:tcW w:w="1801" w:type="dxa"/>
            <w:tcBorders/>
            <w:vAlign w:val="center"/>
          </w:tcPr>
          <w:p>
            <w:pPr>
              <w:pStyle w:val="TableContents"/>
              <w:shd w:fill="2E3440" w:val="clear"/>
              <w:bidi w:val="0"/>
              <w:spacing w:before="120" w:after="120"/>
              <w:jc w:val="left"/>
              <w:rPr/>
            </w:pPr>
            <w:r>
              <w:rPr/>
              <w:t>Daily, automatically</w:t>
            </w:r>
          </w:p>
        </w:tc>
        <w:tc>
          <w:tcPr>
            <w:tcW w:w="3347"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1801" w:type="dxa"/>
            <w:tcBorders/>
            <w:vAlign w:val="center"/>
          </w:tcPr>
          <w:p>
            <w:pPr>
              <w:pStyle w:val="TableContents"/>
              <w:shd w:fill="2E3440" w:val="clear"/>
              <w:bidi w:val="0"/>
              <w:spacing w:before="120" w:after="120"/>
              <w:jc w:val="left"/>
              <w:rPr/>
            </w:pPr>
            <w:r>
              <w:rPr/>
              <w:t>After a plugin update</w:t>
            </w:r>
          </w:p>
        </w:tc>
        <w:tc>
          <w:tcPr>
            <w:tcW w:w="3347"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1801" w:type="dxa"/>
            <w:tcBorders/>
            <w:vAlign w:val="center"/>
          </w:tcPr>
          <w:p>
            <w:pPr>
              <w:pStyle w:val="TableContents"/>
              <w:shd w:fill="2E3440" w:val="clear"/>
              <w:bidi w:val="0"/>
              <w:spacing w:before="120" w:after="120"/>
              <w:jc w:val="left"/>
              <w:rPr/>
            </w:pPr>
            <w:r>
              <w:rPr/>
              <w:t>When a vault moves or you add one</w:t>
            </w:r>
          </w:p>
        </w:tc>
        <w:tc>
          <w:tcPr>
            <w:tcW w:w="3347"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1801" w:type="dxa"/>
            <w:tcBorders/>
            <w:vAlign w:val="center"/>
          </w:tcPr>
          <w:p>
            <w:pPr>
              <w:pStyle w:val="TableContents"/>
              <w:shd w:fill="2E3440" w:val="clear"/>
              <w:bidi w:val="0"/>
              <w:spacing w:before="120" w:after="120"/>
              <w:jc w:val="left"/>
              <w:rPr/>
            </w:pPr>
            <w:r>
              <w:rPr/>
              <w:t>When recall seems blind</w:t>
            </w:r>
          </w:p>
        </w:tc>
        <w:tc>
          <w:tcPr>
            <w:tcW w:w="3347"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1801" w:type="dxa"/>
            <w:tcBorders/>
            <w:vAlign w:val="center"/>
          </w:tcPr>
          <w:p>
            <w:pPr>
              <w:pStyle w:val="TableContents"/>
              <w:shd w:fill="2E3440" w:val="clear"/>
              <w:bidi w:val="0"/>
              <w:spacing w:before="120" w:after="120"/>
              <w:jc w:val="left"/>
              <w:rPr/>
            </w:pPr>
            <w:r>
              <w:rPr/>
              <w:t>When the bridge misbehaves</w:t>
            </w:r>
          </w:p>
        </w:tc>
        <w:tc>
          <w:tcPr>
            <w:tcW w:w="3347"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1801" w:type="dxa"/>
            <w:tcBorders/>
            <w:vAlign w:val="center"/>
          </w:tcPr>
          <w:p>
            <w:pPr>
              <w:pStyle w:val="TableContents"/>
              <w:shd w:fill="2E3440" w:val="clear"/>
              <w:bidi w:val="0"/>
              <w:spacing w:before="120" w:after="120"/>
              <w:jc w:val="left"/>
              <w:rPr/>
            </w:pPr>
            <w:r>
              <w:rPr/>
              <w:t>When the code changed a lot</w:t>
            </w:r>
          </w:p>
        </w:tc>
        <w:tc>
          <w:tcPr>
            <w:tcW w:w="3347"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.crew/crew.json</w:t>
      </w:r>
      <w:r>
        <w:rPr/>
        <w:t xml:space="preserve">, set </w:t>
      </w:r>
      <w:r>
        <w:rPr>
          <w:rStyle w:val="SourceText"/>
        </w:rPr>
        <w:t>tracker.kind</w:t>
      </w:r>
      <w:r>
        <w:rPr/>
        <w:t xml:space="preserve"> to </w:t>
      </w:r>
      <w:r>
        <w:rPr>
          <w:rStyle w:val="SourceText"/>
        </w:rPr>
        <w:t>obsidian</w:t>
      </w:r>
      <w:r>
        <w:rPr/>
        <w:t xml:space="preserve"> and give </w:t>
      </w:r>
      <w:r>
        <w:rPr>
          <w:rStyle w:val="SourceText"/>
        </w:rPr>
        <w:t>tracker.obsidian</w:t>
      </w:r>
      <w:r>
        <w:rPr/>
        <w:t xml:space="preserve">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Give every repository its own </w:t>
      </w:r>
      <w:r>
        <w:rPr>
          <w:rStyle w:val="SourceText"/>
        </w:rPr>
        <w:t>boardDir</w:t>
      </w:r>
      <w:r>
        <w:rPr/>
        <w:t>: with it unset, every repo shares one board at the vault root, and a card another repo owns is refused.</w:t>
      </w:r>
    </w:p>
    <w:tbl>
      <w:tblPr>
        <w:tblW w:w="5148" w:type="dxa"/>
        <w:jc w:val="left"/>
        <w:tblInd w:w="0" w:type="dxa"/>
        <w:tblLayout w:type="fixed"/>
        <w:tblCellMar>
          <w:top w:w="28" w:type="dxa"/>
          <w:left w:w="28" w:type="dxa"/>
          <w:bottom w:w="28" w:type="dxa"/>
          <w:right w:w="28" w:type="dxa"/>
        </w:tblCellMar>
      </w:tblPr>
      <w:tblGrid>
        <w:gridCol w:w="1847"/>
        <w:gridCol w:w="3301"/>
      </w:tblGrid>
      <w:tr>
        <w:trPr>
          <w:tblHeader w:val="true"/>
        </w:trPr>
        <w:tc>
          <w:tcPr>
            <w:tcW w:w="1847" w:type="dxa"/>
            <w:tcBorders/>
            <w:vAlign w:val="center"/>
          </w:tcPr>
          <w:p>
            <w:pPr>
              <w:pStyle w:val="TableHeading"/>
              <w:suppressLineNumbers/>
              <w:shd w:fill="434C5E" w:val="clear"/>
              <w:bidi w:val="0"/>
              <w:spacing w:before="120" w:after="120"/>
              <w:jc w:val="left"/>
              <w:rPr/>
            </w:pPr>
            <w:r>
              <w:rPr/>
              <w:t>Ticket status</w:t>
            </w:r>
          </w:p>
        </w:tc>
        <w:tc>
          <w:tcPr>
            <w:tcW w:w="3301" w:type="dxa"/>
            <w:tcBorders/>
            <w:vAlign w:val="center"/>
          </w:tcPr>
          <w:p>
            <w:pPr>
              <w:pStyle w:val="TableHeading"/>
              <w:suppressLineNumbers/>
              <w:shd w:fill="434C5E" w:val="clear"/>
              <w:bidi w:val="0"/>
              <w:spacing w:before="120" w:after="120"/>
              <w:jc w:val="left"/>
              <w:rPr/>
            </w:pPr>
            <w:r>
              <w:rPr/>
              <w:t>Lane (default name)</w:t>
            </w:r>
          </w:p>
        </w:tc>
      </w:tr>
      <w:tr>
        <w:trPr/>
        <w:tc>
          <w:tcPr>
            <w:tcW w:w="1847"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p>
        </w:tc>
        <w:tc>
          <w:tcPr>
            <w:tcW w:w="3301" w:type="dxa"/>
            <w:tcBorders/>
            <w:vAlign w:val="center"/>
          </w:tcPr>
          <w:p>
            <w:pPr>
              <w:pStyle w:val="TableContents"/>
              <w:shd w:fill="2E3440" w:val="clear"/>
              <w:bidi w:val="0"/>
              <w:spacing w:before="120" w:after="120"/>
              <w:jc w:val="left"/>
              <w:rPr/>
            </w:pPr>
            <w:r>
              <w:rPr/>
              <w:t>Backlog</w:t>
            </w:r>
          </w:p>
        </w:tc>
      </w:tr>
      <w:tr>
        <w:trPr/>
        <w:tc>
          <w:tcPr>
            <w:tcW w:w="1847"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3301" w:type="dxa"/>
            <w:tcBorders/>
            <w:vAlign w:val="center"/>
          </w:tcPr>
          <w:p>
            <w:pPr>
              <w:pStyle w:val="TableContents"/>
              <w:shd w:fill="2E3440" w:val="clear"/>
              <w:bidi w:val="0"/>
              <w:spacing w:before="120" w:after="120"/>
              <w:jc w:val="left"/>
              <w:rPr/>
            </w:pPr>
            <w:r>
              <w:rPr/>
              <w:t>Ready</w:t>
            </w:r>
          </w:p>
        </w:tc>
      </w:tr>
      <w:tr>
        <w:trPr/>
        <w:tc>
          <w:tcPr>
            <w:tcW w:w="1847" w:type="dxa"/>
            <w:tcBorders/>
            <w:vAlign w:val="center"/>
          </w:tcPr>
          <w:p>
            <w:pPr>
              <w:pStyle w:val="TableContents"/>
              <w:shd w:fill="2E3440" w:val="clear"/>
              <w:bidi w:val="0"/>
              <w:spacing w:before="120" w:after="120"/>
              <w:jc w:val="left"/>
              <w:rPr/>
            </w:pPr>
            <w:r>
              <w:rPr>
                <w:rStyle w:val="SourceText"/>
              </w:rPr>
              <w:t>in-progress</w:t>
            </w:r>
          </w:p>
        </w:tc>
        <w:tc>
          <w:tcPr>
            <w:tcW w:w="3301" w:type="dxa"/>
            <w:tcBorders/>
            <w:vAlign w:val="center"/>
          </w:tcPr>
          <w:p>
            <w:pPr>
              <w:pStyle w:val="TableContents"/>
              <w:shd w:fill="2E3440" w:val="clear"/>
              <w:bidi w:val="0"/>
              <w:spacing w:before="120" w:after="120"/>
              <w:jc w:val="left"/>
              <w:rPr/>
            </w:pPr>
            <w:r>
              <w:rPr/>
              <w:t>In Progress</w:t>
            </w:r>
          </w:p>
        </w:tc>
      </w:tr>
      <w:tr>
        <w:trPr/>
        <w:tc>
          <w:tcPr>
            <w:tcW w:w="1847" w:type="dxa"/>
            <w:tcBorders/>
            <w:vAlign w:val="center"/>
          </w:tcPr>
          <w:p>
            <w:pPr>
              <w:pStyle w:val="TableContents"/>
              <w:shd w:fill="2E3440" w:val="clear"/>
              <w:bidi w:val="0"/>
              <w:spacing w:before="120" w:after="120"/>
              <w:jc w:val="left"/>
              <w:rPr/>
            </w:pPr>
            <w:r>
              <w:rPr>
                <w:rStyle w:val="SourceText"/>
              </w:rPr>
              <w:t>review</w:t>
            </w:r>
          </w:p>
        </w:tc>
        <w:tc>
          <w:tcPr>
            <w:tcW w:w="3301" w:type="dxa"/>
            <w:tcBorders/>
            <w:vAlign w:val="center"/>
          </w:tcPr>
          <w:p>
            <w:pPr>
              <w:pStyle w:val="TableContents"/>
              <w:shd w:fill="2E3440" w:val="clear"/>
              <w:bidi w:val="0"/>
              <w:spacing w:before="120" w:after="120"/>
              <w:jc w:val="left"/>
              <w:rPr/>
            </w:pPr>
            <w:r>
              <w:rPr/>
              <w:t>Review</w:t>
            </w:r>
          </w:p>
        </w:tc>
      </w:tr>
      <w:tr>
        <w:trPr/>
        <w:tc>
          <w:tcPr>
            <w:tcW w:w="1847" w:type="dxa"/>
            <w:tcBorders/>
            <w:vAlign w:val="center"/>
          </w:tcPr>
          <w:p>
            <w:pPr>
              <w:pStyle w:val="TableContents"/>
              <w:shd w:fill="2E3440" w:val="clear"/>
              <w:bidi w:val="0"/>
              <w:spacing w:before="120" w:after="120"/>
              <w:jc w:val="left"/>
              <w:rPr/>
            </w:pPr>
            <w:r>
              <w:rPr>
                <w:rStyle w:val="SourceText"/>
              </w:rPr>
              <w:t>done</w:t>
            </w:r>
          </w:p>
        </w:tc>
        <w:tc>
          <w:tcPr>
            <w:tcW w:w="3301"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bl>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lowercased with </w:t>
      </w:r>
      <w:r>
        <w:rPr>
          <w:rStyle w:val="SourceText"/>
        </w:rPr>
        <w:t>.git</w:t>
      </w:r>
      <w:r>
        <w:rPr/>
        <w:t xml:space="preserve"> dropped, or the git directory's path when there is no origin. An ssh origin keeps its username (</w:t>
      </w:r>
      <w:r>
        <w:rPr>
          <w:rStyle w:val="SourceText"/>
        </w:rPr>
        <w:t>git@github.com:team/app</w:t>
      </w:r>
      <w:r>
        <w:rPr/>
        <w:t xml:space="preserve">); other URLs lose any user or token; a </w:t>
      </w:r>
      <w:r>
        <w:rPr>
          <w:rStyle w:val="SourceText"/>
        </w:rPr>
        <w:t>file://</w:t>
      </w:r>
      <w:r>
        <w:rPr/>
        <w:t xml:space="preserve"> origin is decoded to its path.</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w:t>
      </w:r>
    </w:p>
    <w:p>
      <w:pPr>
        <w:pStyle w:val="BodyText"/>
        <w:bidi w:val="0"/>
        <w:jc w:val="left"/>
        <w:rPr/>
      </w:pPr>
      <w:r>
        <w:rPr/>
        <w:t xml:space="preserve">The full rules, including every refusal, are in the crew README, section 13c ("Optional: an Obsidian Kanban board"), in </w:t>
      </w:r>
      <w:r>
        <w:rPr>
          <w:rStyle w:val="SourceText"/>
        </w:rPr>
        <w:t>plugin/crew/README.md</w:t>
      </w:r>
      <w:r>
        <w:rPr/>
        <w:t>.</w:t>
      </w:r>
    </w:p>
    <w:p>
      <w:pPr>
        <w:pStyle w:val="Heading2"/>
        <w:bidi w:val="0"/>
        <w:ind w:hanging="0" w:left="0" w:right="0"/>
        <w:jc w:val="left"/>
        <w:rPr/>
      </w:pPr>
      <w:bookmarkStart w:id="11" w:name="native-memories-as-vault-pointers"/>
      <w:bookmarkEnd w:id="11"/>
      <w:r>
        <w:rPr/>
        <w:t>Native Memories as Vault Pointers</w:t>
      </w:r>
    </w:p>
    <w:p>
      <w:pPr>
        <w:pStyle w:val="BodyText"/>
        <w:bidi w:val="0"/>
        <w:jc w:val="left"/>
        <w:rPr/>
      </w:pPr>
      <w:r>
        <w:rPr/>
        <w:t xml:space="preserve">Claude Code keeps its own native memory, one Markdown file per fact under </w:t>
      </w:r>
      <w:r>
        <w:rPr>
          <w:rStyle w:val="SourceText"/>
        </w:rPr>
        <w:t>~/.claude/projects/&lt;project&gt;/memory/</w:t>
      </w:r>
      <w:r>
        <w:rPr/>
        <w:t>. Crew can read such a file whose body is a single pointer line into your vault, with the frontmatter left as it is:</w:t>
      </w:r>
    </w:p>
    <w:p>
      <w:pPr>
        <w:pStyle w:val="PreformattedText"/>
        <w:bidi w:val="0"/>
        <w:jc w:val="left"/>
        <w:rPr/>
      </w:pPr>
      <w:r>
        <w:rPr>
          <w:rStyle w:val="SourceText"/>
        </w:rPr>
        <w:t>vault: &lt;name&gt; | note: &lt;vault-relative path, forward slashes, ending .md&gt;</w:t>
      </w:r>
    </w:p>
    <w:p>
      <w:pPr>
        <w:pStyle w:val="BodyText"/>
        <w:bidi w:val="0"/>
        <w:jc w:val="left"/>
        <w:rPr/>
      </w:pPr>
      <w:r>
        <w:rPr/>
        <w:t xml:space="preserve">The vault is named, not given as a path, so the same file works on every machine the vault syncs to. The name is looked up in that machine's </w:t>
      </w:r>
      <w:r>
        <w:rPr>
          <w:rStyle w:val="SourceText"/>
        </w:rPr>
        <w:t>~/.claude/obsidian/config.json</w:t>
      </w:r>
      <w:r>
        <w:rPr/>
        <w:t xml:space="preserve"> (</w:t>
      </w:r>
      <w:r>
        <w:rPr>
          <w:rStyle w:val="SourceText"/>
        </w:rPr>
        <w:t>vaults.&lt;name&gt;.path</w:t>
      </w:r>
      <w:r>
        <w:rPr/>
        <w:t xml:space="preserve">; a vault with role </w:t>
      </w:r>
      <w:r>
        <w:rPr>
          <w:rStyle w:val="SourceText"/>
        </w:rPr>
        <w:t>ignore</w:t>
      </w:r>
      <w:r>
        <w:rPr/>
        <w:t xml:space="preserve"> is not looked up). Only the name </w:t>
      </w:r>
      <w:r>
        <w:rPr>
          <w:rStyle w:val="SourceText"/>
        </w:rPr>
        <w:t>memory</w:t>
      </w:r>
      <w:r>
        <w:rPr/>
        <w:t xml:space="preserve"> falls back: to crew's </w:t>
      </w:r>
      <w:r>
        <w:rPr>
          <w:rStyle w:val="SourceText"/>
        </w:rPr>
        <w:t>memory.vaultPath</w:t>
      </w:r>
      <w:r>
        <w:rPr/>
        <w:t xml:space="preserve">, then, only when the Obsidian config has no </w:t>
      </w:r>
      <w:r>
        <w:rPr>
          <w:rStyle w:val="SourceText"/>
        </w:rPr>
        <w:t>vaults</w:t>
      </w:r>
      <w:r>
        <w:rPr/>
        <w:t xml:space="preserve"> block, to its legacy top-level </w:t>
      </w:r>
      <w:r>
        <w:rPr>
          <w:rStyle w:val="SourceText"/>
        </w:rPr>
        <w:t>vaultPath</w:t>
      </w:r>
      <w:r>
        <w:rPr/>
        <w:t xml:space="preserve">. </w:t>
      </w:r>
      <w:r>
        <w:rPr>
          <w:rStyle w:val="SourceText"/>
        </w:rPr>
        <w:t>OBSIDIAN_VAULT_PATH</w:t>
      </w:r>
      <w:r>
        <w:rPr/>
        <w:t xml:space="preserve"> is not used. The line is exact and must be the whole body: a first line that starts </w:t>
      </w:r>
      <w:r>
        <w:rPr>
          <w:rStyle w:val="SourceText"/>
        </w:rPr>
        <w:t>vault</w:t>
      </w:r>
      <w:r>
        <w:rPr/>
        <w:t xml:space="preserve"> and </w:t>
      </w:r>
      <w:r>
        <w:rPr>
          <w:rStyle w:val="SourceText"/>
        </w:rPr>
        <w:t>:</w:t>
      </w:r>
      <w:r>
        <w:rPr/>
        <w:t xml:space="preserve">, in any case, indent or spacing, is a pointer attempt when </w:t>
      </w:r>
      <w:r>
        <w:rPr>
          <w:rStyle w:val="SourceText"/>
        </w:rPr>
        <w:t>note:</w:t>
      </w:r>
      <w:r>
        <w:rPr/>
        <w:t xml:space="preserve"> or </w:t>
      </w:r>
      <w:r>
        <w:rPr>
          <w:rStyle w:val="SourceText"/>
        </w:rPr>
        <w:t>|</w:t>
      </w:r>
      <w:r>
        <w:rPr/>
        <w:t xml:space="preserve"> is on that line, or the next line starts with </w:t>
      </w:r>
      <w:r>
        <w:rPr>
          <w:rStyle w:val="SourceText"/>
        </w:rPr>
        <w:t>|</w:t>
      </w:r>
      <w:r>
        <w:rPr/>
        <w:t xml:space="preserve"> or </w:t>
      </w:r>
      <w:r>
        <w:rPr>
          <w:rStyle w:val="SourceText"/>
        </w:rPr>
        <w:t>note:</w:t>
      </w:r>
      <w:r>
        <w:rPr/>
        <w:t xml:space="preserve"> (a pointer wrapped before its </w:t>
      </w:r>
      <w:r>
        <w:rPr>
          <w:rStyle w:val="SourceText"/>
        </w:rPr>
        <w:t>|</w:t>
      </w:r>
      <w:r>
        <w:rPr/>
        <w:t>), or the line is a bare vault name alone (</w:t>
      </w:r>
      <w:r>
        <w:rPr>
          <w:rStyle w:val="SourceText"/>
        </w:rPr>
        <w:t>vault: work</w:t>
      </w:r>
      <w:r>
        <w:rPr/>
        <w:t>) or nothing after the colon (</w:t>
      </w:r>
      <w:r>
        <w:rPr>
          <w:rStyle w:val="SourceText"/>
        </w:rPr>
        <w:t>vault:</w:t>
      </w:r>
      <w:r>
        <w:rPr/>
        <w:t xml:space="preserve">); a table or a </w:t>
      </w:r>
      <w:r>
        <w:rPr>
          <w:rStyle w:val="SourceText"/>
        </w:rPr>
        <w:t>Note:</w:t>
      </w:r>
      <w:r>
        <w:rPr/>
        <w:t xml:space="preserve"> line further down does not count; anything less than the full grammar is then </w:t>
      </w:r>
      <w:r>
        <w:rPr>
          <w:rStyle w:val="SourceText"/>
        </w:rPr>
        <w:t>malformed</w:t>
      </w:r>
      <w:r>
        <w:rPr/>
        <w:t xml:space="preserve">. With neither the line is prose: </w:t>
      </w:r>
      <w:r>
        <w:rPr>
          <w:rStyle w:val="SourceText"/>
        </w:rPr>
        <w:t>Vault: keep client notes in the work vault</w:t>
      </w:r>
      <w:r>
        <w:rPr/>
        <w:t xml:space="preserve"> is a memory, not a pointer. A config file counts as missing only when it is not there at all; one that is there but does not read, parse or have the expected shape (a </w:t>
      </w:r>
      <w:r>
        <w:rPr>
          <w:rStyle w:val="SourceText"/>
        </w:rPr>
        <w:t>vaults</w:t>
      </w:r>
      <w:r>
        <w:rPr/>
        <w:t xml:space="preserve"> object of objects with a string </w:t>
      </w:r>
      <w:r>
        <w:rPr>
          <w:rStyle w:val="SourceText"/>
        </w:rPr>
        <w:t>path</w:t>
      </w:r>
      <w:r>
        <w:rPr/>
        <w:t xml:space="preserve">, a string </w:t>
      </w:r>
      <w:r>
        <w:rPr>
          <w:rStyle w:val="SourceText"/>
        </w:rPr>
        <w:t>vaultPath</w:t>
      </w:r>
      <w:r>
        <w:rPr/>
        <w:t xml:space="preserve">, crew's </w:t>
      </w:r>
      <w:r>
        <w:rPr>
          <w:rStyle w:val="SourceText"/>
        </w:rPr>
        <w:t>memory</w:t>
      </w:r>
      <w:r>
        <w:rPr/>
        <w:t xml:space="preserve"> an object with a string or null </w:t>
      </w:r>
      <w:r>
        <w:rPr>
          <w:rStyle w:val="SourceText"/>
        </w:rPr>
        <w:t>vaultPath</w:t>
      </w:r>
      <w:r>
        <w:rPr/>
        <w:t xml:space="preserve">; no duplicate key, not nested too deep, at most 1 MiB) is </w:t>
      </w:r>
      <w:r>
        <w:rPr>
          <w:rStyle w:val="SourceText"/>
        </w:rPr>
        <w:t>no-vault-config</w:t>
      </w:r>
      <w:r>
        <w:rPr/>
        <w:t xml:space="preserve">, naming the field. A bad Obsidian config stops every name; a bad crew config stops </w:t>
      </w:r>
      <w:r>
        <w:rPr>
          <w:rStyle w:val="SourceText"/>
        </w:rPr>
        <w:t>memory</w:t>
      </w:r>
      <w:r>
        <w:rPr/>
        <w:t>, the one name it can answer for, and any name when there is no Obsidian config to say which failure applies.</w:t>
      </w:r>
    </w:p>
    <w:p>
      <w:pPr>
        <w:pStyle w:val="PreformattedText"/>
        <w:bidi w:val="0"/>
        <w:jc w:val="left"/>
        <w:rPr/>
      </w:pPr>
      <w:r>
        <w:rPr>
          <w:rStyle w:val="SourceText"/>
        </w:rPr>
        <w:t>python3 plugin/crew/hooks/scripts/crew_memory.py resolve --file &lt;memory file&gt;</w:t>
      </w:r>
    </w:p>
    <w:p>
      <w:pPr>
        <w:pStyle w:val="PreformattedText"/>
        <w:bidi w:val="0"/>
        <w:jc w:val="left"/>
        <w:rPr/>
      </w:pPr>
      <w:r>
        <w:rPr>
          <w:rStyle w:val="SourceText"/>
        </w:rPr>
        <w:t>python3 plugin/crew/hooks/scripts/crew_memory.py check --memory-dir &lt;memory dir&gt;</w:t>
      </w:r>
    </w:p>
    <w:p>
      <w:pPr>
        <w:pStyle w:val="BodyText"/>
        <w:bidi w:val="0"/>
        <w:jc w:val="left"/>
        <w:rPr/>
      </w:pPr>
      <w:r>
        <w:rPr>
          <w:rStyle w:val="SourceText"/>
        </w:rPr>
        <w:t>resolve</w:t>
      </w:r>
      <w:r>
        <w:rPr/>
        <w:t xml:space="preserve"> prints </w:t>
      </w:r>
      <w:r>
        <w:rPr>
          <w:rStyle w:val="SourceText"/>
        </w:rPr>
        <w:t>state:</w:t>
      </w:r>
      <w:r>
        <w:rPr/>
        <w:t xml:space="preserve"> and, when the note is found, </w:t>
      </w:r>
      <w:r>
        <w:rPr>
          <w:rStyle w:val="SourceText"/>
        </w:rPr>
        <w:t>path:</w:t>
      </w:r>
      <w:r>
        <w:rPr/>
        <w:t xml:space="preserve">. </w:t>
      </w:r>
      <w:r>
        <w:rPr>
          <w:rStyle w:val="SourceText"/>
        </w:rPr>
        <w:t>check</w:t>
      </w:r>
      <w:r>
        <w:rPr/>
        <w:t xml:space="preserve"> prints one row per memory file (not </w:t>
      </w:r>
      <w:r>
        <w:rPr>
          <w:rStyle w:val="SourceText"/>
        </w:rPr>
        <w:t>MEMORY.md</w:t>
      </w:r>
      <w:r>
        <w:rPr/>
        <w:t xml:space="preserve">) and a count per state. Both read only; </w:t>
      </w:r>
      <w:r>
        <w:rPr>
          <w:rStyle w:val="SourceText"/>
        </w:rPr>
        <w:t>--json</w:t>
      </w:r>
      <w:r>
        <w:rPr/>
        <w:t xml:space="preserve"> gives the same rows as JSON.</w:t>
      </w:r>
    </w:p>
    <w:tbl>
      <w:tblPr>
        <w:tblW w:w="5148" w:type="dxa"/>
        <w:jc w:val="left"/>
        <w:tblInd w:w="0" w:type="dxa"/>
        <w:tblLayout w:type="fixed"/>
        <w:tblCellMar>
          <w:top w:w="28" w:type="dxa"/>
          <w:left w:w="28" w:type="dxa"/>
          <w:bottom w:w="28" w:type="dxa"/>
          <w:right w:w="28" w:type="dxa"/>
        </w:tblCellMar>
      </w:tblPr>
      <w:tblGrid>
        <w:gridCol w:w="2236"/>
        <w:gridCol w:w="2161"/>
        <w:gridCol w:w="751"/>
      </w:tblGrid>
      <w:tr>
        <w:trPr>
          <w:tblHeader w:val="true"/>
        </w:trPr>
        <w:tc>
          <w:tcPr>
            <w:tcW w:w="2236" w:type="dxa"/>
            <w:tcBorders/>
            <w:vAlign w:val="center"/>
          </w:tcPr>
          <w:p>
            <w:pPr>
              <w:pStyle w:val="TableHeading"/>
              <w:suppressLineNumbers/>
              <w:shd w:fill="434C5E" w:val="clear"/>
              <w:bidi w:val="0"/>
              <w:spacing w:before="120" w:after="120"/>
              <w:jc w:val="left"/>
              <w:rPr/>
            </w:pPr>
            <w:r>
              <w:rPr/>
              <w:t>state</w:t>
            </w:r>
          </w:p>
        </w:tc>
        <w:tc>
          <w:tcPr>
            <w:tcW w:w="2161" w:type="dxa"/>
            <w:tcBorders/>
            <w:vAlign w:val="center"/>
          </w:tcPr>
          <w:p>
            <w:pPr>
              <w:pStyle w:val="TableHeading"/>
              <w:suppressLineNumbers/>
              <w:shd w:fill="434C5E" w:val="clear"/>
              <w:bidi w:val="0"/>
              <w:spacing w:before="120" w:after="120"/>
              <w:jc w:val="left"/>
              <w:rPr/>
            </w:pPr>
            <w:r>
              <w:rPr/>
              <w:t>meaning</w:t>
            </w:r>
          </w:p>
        </w:tc>
        <w:tc>
          <w:tcPr>
            <w:tcW w:w="751" w:type="dxa"/>
            <w:tcBorders/>
            <w:vAlign w:val="center"/>
          </w:tcPr>
          <w:p>
            <w:pPr>
              <w:pStyle w:val="TableHeading"/>
              <w:suppressLineNumbers/>
              <w:shd w:fill="434C5E" w:val="clear"/>
              <w:bidi w:val="0"/>
              <w:spacing w:before="120" w:after="120"/>
              <w:jc w:val="left"/>
              <w:rPr/>
            </w:pPr>
            <w:r>
              <w:rPr/>
              <w:t>exit</w:t>
            </w:r>
          </w:p>
        </w:tc>
      </w:tr>
      <w:tr>
        <w:trPr/>
        <w:tc>
          <w:tcPr>
            <w:tcW w:w="2236" w:type="dxa"/>
            <w:tcBorders/>
            <w:vAlign w:val="center"/>
          </w:tcPr>
          <w:p>
            <w:pPr>
              <w:pStyle w:val="TableContents"/>
              <w:shd w:fill="2E3440" w:val="clear"/>
              <w:bidi w:val="0"/>
              <w:spacing w:before="120" w:after="120"/>
              <w:jc w:val="left"/>
              <w:rPr/>
            </w:pPr>
            <w:r>
              <w:rPr>
                <w:rStyle w:val="SourceText"/>
              </w:rPr>
              <w:t>resolved</w:t>
            </w:r>
          </w:p>
        </w:tc>
        <w:tc>
          <w:tcPr>
            <w:tcW w:w="2161" w:type="dxa"/>
            <w:tcBorders/>
            <w:vAlign w:val="center"/>
          </w:tcPr>
          <w:p>
            <w:pPr>
              <w:pStyle w:val="TableContents"/>
              <w:shd w:fill="2E3440" w:val="clear"/>
              <w:bidi w:val="0"/>
              <w:spacing w:before="120" w:after="120"/>
              <w:jc w:val="left"/>
              <w:rPr/>
            </w:pPr>
            <w:r>
              <w:rPr/>
              <w:t>the note exists on this host</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full-text</w:t>
            </w:r>
          </w:p>
        </w:tc>
        <w:tc>
          <w:tcPr>
            <w:tcW w:w="2161" w:type="dxa"/>
            <w:tcBorders/>
            <w:vAlign w:val="center"/>
          </w:tcPr>
          <w:p>
            <w:pPr>
              <w:pStyle w:val="TableContents"/>
              <w:shd w:fill="2E3440" w:val="clear"/>
              <w:bidi w:val="0"/>
              <w:spacing w:before="120" w:after="120"/>
              <w:jc w:val="left"/>
              <w:rPr/>
            </w:pPr>
            <w:r>
              <w:rPr/>
              <w:t>not a pointer; the body is the memory</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malformed</w:t>
            </w:r>
          </w:p>
        </w:tc>
        <w:tc>
          <w:tcPr>
            <w:tcW w:w="2161" w:type="dxa"/>
            <w:tcBorders/>
            <w:vAlign w:val="center"/>
          </w:tcPr>
          <w:p>
            <w:pPr>
              <w:pStyle w:val="TableContents"/>
              <w:shd w:fill="2E3440" w:val="clear"/>
              <w:bidi w:val="0"/>
              <w:spacing w:before="120" w:after="120"/>
              <w:jc w:val="left"/>
              <w:rPr/>
            </w:pPr>
            <w:r>
              <w:rPr/>
              <w:t xml:space="preserve">a </w:t>
            </w:r>
            <w:r>
              <w:rPr>
                <w:rStyle w:val="SourceText"/>
              </w:rPr>
              <w:t>vault:</w:t>
            </w:r>
            <w:r>
              <w:rPr/>
              <w:t xml:space="preserve"> first line, in any case, indent or spacing, that is not a valid pointer alone in the body (absolute path, </w:t>
            </w:r>
            <w:r>
              <w:rPr>
                <w:rStyle w:val="SourceText"/>
              </w:rPr>
              <w:t>:</w:t>
            </w:r>
            <w:r>
              <w:rPr/>
              <w:t xml:space="preserve">, </w:t>
            </w:r>
            <w:r>
              <w:rPr>
                <w:rStyle w:val="SourceText"/>
              </w:rPr>
              <w:t>..</w:t>
            </w:r>
            <w:r>
              <w:rPr/>
              <w:t>, a second field, an invisible character)</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no-vault-config</w:t>
            </w:r>
          </w:p>
        </w:tc>
        <w:tc>
          <w:tcPr>
            <w:tcW w:w="2161" w:type="dxa"/>
            <w:tcBorders/>
            <w:vAlign w:val="center"/>
          </w:tcPr>
          <w:p>
            <w:pPr>
              <w:pStyle w:val="TableContents"/>
              <w:shd w:fill="2E3440" w:val="clear"/>
              <w:bidi w:val="0"/>
              <w:spacing w:before="120" w:after="120"/>
              <w:jc w:val="left"/>
              <w:rPr/>
            </w:pPr>
            <w:r>
              <w:rPr/>
              <w:t xml:space="preserve">no Obsidian config and no </w:t>
            </w:r>
            <w:r>
              <w:rPr>
                <w:rStyle w:val="SourceText"/>
              </w:rPr>
              <w:t>memory.vaultPath</w:t>
            </w:r>
            <w:r>
              <w:rPr/>
              <w:t>, or a config file that cannot be read, does not parse or has a field of the wrong shape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vault-unknown</w:t>
            </w:r>
          </w:p>
        </w:tc>
        <w:tc>
          <w:tcPr>
            <w:tcW w:w="2161" w:type="dxa"/>
            <w:tcBorders/>
            <w:vAlign w:val="center"/>
          </w:tcPr>
          <w:p>
            <w:pPr>
              <w:pStyle w:val="TableContents"/>
              <w:shd w:fill="2E3440" w:val="clear"/>
              <w:bidi w:val="0"/>
              <w:spacing w:before="120" w:after="120"/>
              <w:jc w:val="left"/>
              <w:rPr/>
            </w:pPr>
            <w:r>
              <w:rPr/>
              <w:t xml:space="preserve">this machine names no vault of that name, or marks it </w:t>
            </w:r>
            <w:r>
              <w:rPr>
                <w:rStyle w:val="SourceText"/>
              </w:rPr>
              <w:t>ignore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vault-unavailable</w:t>
            </w:r>
          </w:p>
        </w:tc>
        <w:tc>
          <w:tcPr>
            <w:tcW w:w="2161" w:type="dxa"/>
            <w:tcBorders/>
            <w:vAlign w:val="center"/>
          </w:tcPr>
          <w:p>
            <w:pPr>
              <w:pStyle w:val="TableContents"/>
              <w:shd w:fill="2E3440" w:val="clear"/>
              <w:bidi w:val="0"/>
              <w:spacing w:before="120" w:after="120"/>
              <w:jc w:val="left"/>
              <w:rPr/>
            </w:pPr>
            <w:r>
              <w:rPr/>
              <w:t>the configured folder is not there (not mounted, not synced)</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note-missing</w:t>
            </w:r>
          </w:p>
        </w:tc>
        <w:tc>
          <w:tcPr>
            <w:tcW w:w="2161" w:type="dxa"/>
            <w:tcBorders/>
            <w:vAlign w:val="center"/>
          </w:tcPr>
          <w:p>
            <w:pPr>
              <w:pStyle w:val="TableContents"/>
              <w:shd w:fill="2E3440" w:val="clear"/>
              <w:bidi w:val="0"/>
              <w:spacing w:before="120" w:after="120"/>
              <w:jc w:val="left"/>
              <w:rPr/>
            </w:pPr>
            <w:r>
              <w:rPr/>
              <w:t>the vault is there, the note is not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outside-vault</w:t>
            </w:r>
          </w:p>
        </w:tc>
        <w:tc>
          <w:tcPr>
            <w:tcW w:w="2161" w:type="dxa"/>
            <w:tcBorders/>
            <w:vAlign w:val="center"/>
          </w:tcPr>
          <w:p>
            <w:pPr>
              <w:pStyle w:val="TableContents"/>
              <w:shd w:fill="2E3440" w:val="clear"/>
              <w:bidi w:val="0"/>
              <w:spacing w:before="120" w:after="120"/>
              <w:jc w:val="left"/>
              <w:rPr/>
            </w:pPr>
            <w:r>
              <w:rPr/>
              <w:t>the path passes through a symlink inside the vault, or leaves it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unreadable</w:t>
            </w:r>
          </w:p>
        </w:tc>
        <w:tc>
          <w:tcPr>
            <w:tcW w:w="2161" w:type="dxa"/>
            <w:tcBorders/>
            <w:vAlign w:val="center"/>
          </w:tcPr>
          <w:p>
            <w:pPr>
              <w:pStyle w:val="TableContents"/>
              <w:shd w:fill="2E3440" w:val="clear"/>
              <w:bidi w:val="0"/>
              <w:spacing w:before="120" w:after="120"/>
              <w:jc w:val="left"/>
              <w:rPr/>
            </w:pPr>
            <w:r>
              <w:rPr/>
              <w:t>the memory file is not a regular file readable as UTF-8 (</w:t>
            </w:r>
            <w:r>
              <w:rPr>
                <w:rStyle w:val="SourceText"/>
              </w:rPr>
              <w:t>check</w:t>
            </w:r>
            <w:r>
              <w:rPr/>
              <w:t xml:space="preserve"> never opens a FIFO, device or directory), or a folder or note inside the vault cannot be read or opened</w:t>
            </w:r>
          </w:p>
        </w:tc>
        <w:tc>
          <w:tcPr>
            <w:tcW w:w="751" w:type="dxa"/>
            <w:tcBorders/>
            <w:vAlign w:val="center"/>
          </w:tcPr>
          <w:p>
            <w:pPr>
              <w:pStyle w:val="TableContents"/>
              <w:shd w:fill="2E3440" w:val="clear"/>
              <w:bidi w:val="0"/>
              <w:spacing w:before="120" w:after="120"/>
              <w:jc w:val="left"/>
              <w:rPr/>
            </w:pPr>
            <w:r>
              <w:rPr/>
              <w:t>1</w:t>
            </w:r>
          </w:p>
        </w:tc>
      </w:tr>
    </w:tbl>
    <w:p>
      <w:pPr>
        <w:pStyle w:val="BodyText"/>
        <w:bidi w:val="0"/>
        <w:jc w:val="left"/>
        <w:rPr/>
      </w:pPr>
      <w:r>
        <w:rPr/>
        <w:t>An unavailable vault is never replaced by another one that happens to hold a note at the same path.</w:t>
      </w:r>
    </w:p>
    <w:p>
      <w:pPr>
        <w:pStyle w:val="Heading3"/>
        <w:bidi w:val="0"/>
        <w:ind w:hanging="0" w:left="0" w:right="0"/>
        <w:jc w:val="left"/>
        <w:rPr/>
      </w:pPr>
      <w:bookmarkStart w:id="12" w:name="saving-a-memory-as-a-pointer"/>
      <w:bookmarkEnd w:id="12"/>
      <w:r>
        <w:rPr/>
        <w:t>Saving a Memory as a Pointer</w:t>
      </w:r>
    </w:p>
    <w:p>
      <w:pPr>
        <w:pStyle w:val="BodyText"/>
        <w:bidi w:val="0"/>
        <w:jc w:val="left"/>
        <w:rPr/>
      </w:pPr>
      <w:r>
        <w:rPr>
          <w:rStyle w:val="SourceText"/>
        </w:rPr>
        <w:t>save</w:t>
      </w:r>
      <w:r>
        <w:rPr/>
        <w:t xml:space="preserve"> turns one memory that holds its full text into a pointer, note first:</w:t>
      </w:r>
    </w:p>
    <w:p>
      <w:pPr>
        <w:pStyle w:val="PreformattedText"/>
        <w:bidi w:val="0"/>
        <w:jc w:val="left"/>
        <w:rPr/>
      </w:pPr>
      <w:r>
        <w:rPr>
          <w:rStyle w:val="SourceText"/>
        </w:rPr>
        <w:t>python3 plugin/crew/hooks/scripts/crew_memory.py save --file &lt;memory file&gt; --tag &lt;tag&gt;</w:t>
      </w:r>
    </w:p>
    <w:p>
      <w:pPr>
        <w:pStyle w:val="PreformattedText"/>
        <w:bidi w:val="0"/>
        <w:jc w:val="left"/>
        <w:rPr/>
      </w:pPr>
      <w:r>
        <w:rPr>
          <w:rStyle w:val="SourceText"/>
        </w:rPr>
        <w:t>python3 plugin/crew/hooks/scripts/crew_memory.py save --file &lt;memory file&gt; --tag &lt;tag&gt; --apply</w:t>
      </w:r>
    </w:p>
    <w:p>
      <w:pPr>
        <w:pStyle w:val="BodyText"/>
        <w:bidi w:val="0"/>
        <w:jc w:val="left"/>
        <w:rPr/>
      </w:pPr>
      <w:r>
        <w:rPr/>
        <w:t xml:space="preserve">Without </w:t>
      </w:r>
      <w:r>
        <w:rPr>
          <w:rStyle w:val="SourceText"/>
        </w:rPr>
        <w:t>--apply</w:t>
      </w:r>
      <w:r>
        <w:rPr/>
        <w:t xml:space="preserve"> it prints the plan (the vault, the note, </w:t>
      </w:r>
      <w:r>
        <w:rPr>
          <w:rStyle w:val="SourceText"/>
        </w:rPr>
        <w:t>create</w:t>
      </w:r>
      <w:r>
        <w:rPr/>
        <w:t xml:space="preserve">, </w:t>
      </w:r>
      <w:r>
        <w:rPr>
          <w:rStyle w:val="SourceText"/>
        </w:rPr>
        <w:t>append</w:t>
      </w:r>
      <w:r>
        <w:rPr/>
        <w:t xml:space="preserve"> or </w:t>
      </w:r>
      <w:r>
        <w:rPr>
          <w:rStyle w:val="SourceText"/>
        </w:rPr>
        <w:t>unchanged</w:t>
      </w:r>
      <w:r>
        <w:rPr/>
        <w:t xml:space="preserve">, and the pointer line) and writes nothing. Read your vault's own </w:t>
      </w:r>
      <w:r>
        <w:rPr>
          <w:rStyle w:val="SourceText"/>
        </w:rPr>
        <w:t>CLAUDE.md</w:t>
      </w:r>
      <w:r>
        <w:rPr/>
        <w:t xml:space="preserve"> for its folders and tags first; </w:t>
      </w:r>
      <w:r>
        <w:rPr>
          <w:rStyle w:val="SourceText"/>
        </w:rPr>
        <w:t>--note</w:t>
      </w:r>
      <w:r>
        <w:rPr/>
        <w:t xml:space="preserve">, </w:t>
      </w:r>
      <w:r>
        <w:rPr>
          <w:rStyle w:val="SourceText"/>
        </w:rPr>
        <w:t>--title</w:t>
      </w:r>
      <w:r>
        <w:rPr/>
        <w:t xml:space="preserve">, </w:t>
      </w:r>
      <w:r>
        <w:rPr>
          <w:rStyle w:val="SourceText"/>
        </w:rPr>
        <w:t>--type</w:t>
      </w:r>
      <w:r>
        <w:rPr/>
        <w:t xml:space="preserve"> (</w:t>
      </w:r>
      <w:r>
        <w:rPr>
          <w:rStyle w:val="SourceText"/>
        </w:rPr>
        <w:t>concept</w:t>
      </w:r>
      <w:r>
        <w:rPr/>
        <w:t xml:space="preserve"> by default) and </w:t>
      </w:r>
      <w:r>
        <w:rPr>
          <w:rStyle w:val="SourceText"/>
        </w:rPr>
        <w:t>--project</w:t>
      </w:r>
      <w:r>
        <w:rPr/>
        <w:t xml:space="preserve"> change the defaults (</w:t>
      </w:r>
      <w:r>
        <w:rPr>
          <w:rStyle w:val="SourceText"/>
        </w:rPr>
        <w:t>memories/&lt;project&gt;/&lt;title&gt;.md</w:t>
      </w:r>
      <w:r>
        <w:rPr/>
        <w:t xml:space="preserve">, the title taken from the memory's </w:t>
      </w:r>
      <w:r>
        <w:rPr>
          <w:rStyle w:val="SourceText"/>
        </w:rPr>
        <w:t>name:</w:t>
      </w:r>
      <w:r>
        <w:rPr/>
        <w:t xml:space="preserve"> line).</w:t>
      </w:r>
    </w:p>
    <w:p>
      <w:pPr>
        <w:pStyle w:val="BodyText"/>
        <w:bidi w:val="0"/>
        <w:jc w:val="left"/>
        <w:rPr/>
      </w:pPr>
      <w:r>
        <w:rPr/>
        <w:t xml:space="preserve">It writes only to the one writable vault: the vault with role </w:t>
      </w:r>
      <w:r>
        <w:rPr>
          <w:rStyle w:val="SourceText"/>
        </w:rPr>
        <w:t>primary</w:t>
      </w:r>
      <w:r>
        <w:rPr/>
        <w:t xml:space="preserve"> (without roles, the </w:t>
      </w:r>
      <w:r>
        <w:rPr>
          <w:rStyle w:val="SourceText"/>
        </w:rPr>
        <w:t>default: true</w:t>
      </w:r>
      <w:r>
        <w:rPr/>
        <w:t xml:space="preserve"> vault, else the first; with no </w:t>
      </w:r>
      <w:r>
        <w:rPr>
          <w:rStyle w:val="SourceText"/>
        </w:rPr>
        <w:t>vaults</w:t>
      </w:r>
      <w:r>
        <w:rPr/>
        <w:t xml:space="preserve"> block, </w:t>
      </w:r>
      <w:r>
        <w:rPr>
          <w:rStyle w:val="SourceText"/>
        </w:rPr>
        <w:t>memory</w:t>
      </w:r>
      <w:r>
        <w:rPr/>
        <w:t xml:space="preserve">). The folder must hold </w:t>
      </w:r>
      <w:r>
        <w:rPr>
          <w:rStyle w:val="SourceText"/>
        </w:rPr>
        <w:t>.obsidian/</w:t>
      </w:r>
      <w:r>
        <w:rPr/>
        <w:t xml:space="preserve">. A </w:t>
      </w:r>
      <w:r>
        <w:rPr>
          <w:rStyle w:val="SourceText"/>
        </w:rPr>
        <w:t>recall</w:t>
      </w:r>
      <w:r>
        <w:rPr/>
        <w:t xml:space="preserve"> or </w:t>
      </w:r>
      <w:r>
        <w:rPr>
          <w:rStyle w:val="SourceText"/>
        </w:rPr>
        <w:t>ignore</w:t>
      </w:r>
      <w:r>
        <w:rPr/>
        <w:t xml:space="preserve"> vault is never written, and a primary that is not mounted is reported, not replaced. The note gets the vault's six frontmatter keys plus </w:t>
      </w:r>
      <w:r>
        <w:rPr>
          <w:rStyle w:val="SourceText"/>
        </w:rPr>
        <w:t>project</w:t>
      </w:r>
      <w:r>
        <w:rPr/>
        <w:t xml:space="preserve"> and </w:t>
      </w:r>
      <w:r>
        <w:rPr>
          <w:rStyle w:val="SourceText"/>
        </w:rPr>
        <w:t>memory_id</w:t>
      </w:r>
      <w:r>
        <w:rPr/>
        <w:t xml:space="preserve">; saving the same memory again appends a dated </w:t>
      </w:r>
      <w:r>
        <w:rPr>
          <w:rStyle w:val="SourceText"/>
        </w:rPr>
        <w:t>## Update</w:t>
      </w:r>
      <w:r>
        <w:rPr/>
        <w:t xml:space="preserve"> passage, and a note that belongs to another memory is a </w:t>
      </w:r>
      <w:r>
        <w:rPr>
          <w:rStyle w:val="SourceText"/>
        </w:rPr>
        <w:t>collision</w:t>
      </w:r>
      <w:r>
        <w:rPr/>
        <w:t>.</w:t>
      </w:r>
    </w:p>
    <w:p>
      <w:pPr>
        <w:pStyle w:val="BodyText"/>
        <w:bidi w:val="0"/>
        <w:jc w:val="left"/>
        <w:rPr/>
      </w:pPr>
      <w:r>
        <w:rPr/>
        <w:t xml:space="preserve">The order is the point. The note is written through a temp file, read back, and the pointer resolved; only then is the memory's body replaced, its frontmatter kept byte for byte, through a temp file and a rename. Any refusal or failure prints </w:t>
      </w:r>
      <w:r>
        <w:rPr>
          <w:rStyle w:val="SourceText"/>
        </w:rPr>
        <w:t>kept-full-text: &lt;reason&gt;</w:t>
      </w:r>
      <w:r>
        <w:rPr/>
        <w:t xml:space="preserve"> and leaves the memory exactly as it was:</w:t>
      </w:r>
    </w:p>
    <w:tbl>
      <w:tblPr>
        <w:tblW w:w="5148" w:type="dxa"/>
        <w:jc w:val="left"/>
        <w:tblInd w:w="0" w:type="dxa"/>
        <w:tblLayout w:type="fixed"/>
        <w:tblCellMar>
          <w:top w:w="28" w:type="dxa"/>
          <w:left w:w="28" w:type="dxa"/>
          <w:bottom w:w="28" w:type="dxa"/>
          <w:right w:w="28" w:type="dxa"/>
        </w:tblCellMar>
      </w:tblPr>
      <w:tblGrid>
        <w:gridCol w:w="2892"/>
        <w:gridCol w:w="1504"/>
        <w:gridCol w:w="752"/>
      </w:tblGrid>
      <w:tr>
        <w:trPr>
          <w:tblHeader w:val="true"/>
        </w:trPr>
        <w:tc>
          <w:tcPr>
            <w:tcW w:w="2892" w:type="dxa"/>
            <w:tcBorders/>
            <w:vAlign w:val="center"/>
          </w:tcPr>
          <w:p>
            <w:pPr>
              <w:pStyle w:val="TableHeading"/>
              <w:suppressLineNumbers/>
              <w:shd w:fill="434C5E" w:val="clear"/>
              <w:bidi w:val="0"/>
              <w:spacing w:before="120" w:after="120"/>
              <w:jc w:val="left"/>
              <w:rPr/>
            </w:pPr>
            <w:r>
              <w:rPr/>
              <w:t>state</w:t>
            </w:r>
          </w:p>
        </w:tc>
        <w:tc>
          <w:tcPr>
            <w:tcW w:w="1504" w:type="dxa"/>
            <w:tcBorders/>
            <w:vAlign w:val="center"/>
          </w:tcPr>
          <w:p>
            <w:pPr>
              <w:pStyle w:val="TableHeading"/>
              <w:suppressLineNumbers/>
              <w:shd w:fill="434C5E" w:val="clear"/>
              <w:bidi w:val="0"/>
              <w:spacing w:before="120" w:after="120"/>
              <w:jc w:val="left"/>
              <w:rPr/>
            </w:pPr>
            <w:r>
              <w:rPr/>
              <w:t>memory file</w:t>
            </w:r>
          </w:p>
        </w:tc>
        <w:tc>
          <w:tcPr>
            <w:tcW w:w="752" w:type="dxa"/>
            <w:tcBorders/>
            <w:vAlign w:val="center"/>
          </w:tcPr>
          <w:p>
            <w:pPr>
              <w:pStyle w:val="TableHeading"/>
              <w:suppressLineNumbers/>
              <w:shd w:fill="434C5E" w:val="clear"/>
              <w:bidi w:val="0"/>
              <w:spacing w:before="120" w:after="120"/>
              <w:jc w:val="left"/>
              <w:rPr/>
            </w:pPr>
            <w:r>
              <w:rPr/>
              <w:t>exit</w:t>
            </w:r>
          </w:p>
        </w:tc>
      </w:tr>
      <w:tr>
        <w:trPr/>
        <w:tc>
          <w:tcPr>
            <w:tcW w:w="2892" w:type="dxa"/>
            <w:tcBorders/>
            <w:vAlign w:val="center"/>
          </w:tcPr>
          <w:p>
            <w:pPr>
              <w:pStyle w:val="TableContents"/>
              <w:shd w:fill="2E3440" w:val="clear"/>
              <w:bidi w:val="0"/>
              <w:spacing w:before="120" w:after="120"/>
              <w:jc w:val="left"/>
              <w:rPr/>
            </w:pPr>
            <w:r>
              <w:rPr>
                <w:rStyle w:val="SourceText"/>
              </w:rPr>
              <w:t>pointer-written</w:t>
            </w:r>
          </w:p>
        </w:tc>
        <w:tc>
          <w:tcPr>
            <w:tcW w:w="1504" w:type="dxa"/>
            <w:tcBorders/>
            <w:vAlign w:val="center"/>
          </w:tcPr>
          <w:p>
            <w:pPr>
              <w:pStyle w:val="TableContents"/>
              <w:shd w:fill="2E3440" w:val="clear"/>
              <w:bidi w:val="0"/>
              <w:spacing w:before="120" w:after="120"/>
              <w:jc w:val="left"/>
              <w:rPr/>
            </w:pPr>
            <w:r>
              <w:rPr/>
              <w:t>body replaced by the pointer</w:t>
            </w:r>
          </w:p>
        </w:tc>
        <w:tc>
          <w:tcPr>
            <w:tcW w:w="752" w:type="dxa"/>
            <w:tcBorders/>
            <w:vAlign w:val="center"/>
          </w:tcPr>
          <w:p>
            <w:pPr>
              <w:pStyle w:val="TableContents"/>
              <w:shd w:fill="2E3440" w:val="clear"/>
              <w:bidi w:val="0"/>
              <w:spacing w:before="120" w:after="120"/>
              <w:jc w:val="left"/>
              <w:rPr/>
            </w:pPr>
            <w:r>
              <w:rPr/>
              <w:t>0</w:t>
            </w:r>
          </w:p>
        </w:tc>
      </w:tr>
      <w:tr>
        <w:trPr/>
        <w:tc>
          <w:tcPr>
            <w:tcW w:w="2892" w:type="dxa"/>
            <w:tcBorders/>
            <w:vAlign w:val="center"/>
          </w:tcPr>
          <w:p>
            <w:pPr>
              <w:pStyle w:val="TableContents"/>
              <w:shd w:fill="2E3440" w:val="clear"/>
              <w:bidi w:val="0"/>
              <w:spacing w:before="120" w:after="120"/>
              <w:jc w:val="left"/>
              <w:rPr/>
            </w:pPr>
            <w:r>
              <w:rPr>
                <w:rStyle w:val="SourceText"/>
              </w:rPr>
              <w:t>already-pointer</w:t>
            </w:r>
          </w:p>
        </w:tc>
        <w:tc>
          <w:tcPr>
            <w:tcW w:w="1504"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0</w:t>
            </w:r>
          </w:p>
        </w:tc>
      </w:tr>
      <w:tr>
        <w:trPr/>
        <w:tc>
          <w:tcPr>
            <w:tcW w:w="2892" w:type="dxa"/>
            <w:tcBorders/>
            <w:vAlign w:val="center"/>
          </w:tcPr>
          <w:p>
            <w:pPr>
              <w:pStyle w:val="TableContents"/>
              <w:shd w:fill="2E3440" w:val="clear"/>
              <w:bidi w:val="0"/>
              <w:spacing w:before="120" w:after="120"/>
              <w:jc w:val="left"/>
              <w:rPr/>
            </w:pPr>
            <w:r>
              <w:rPr>
                <w:rStyle w:val="SourceText"/>
              </w:rPr>
              <w:t>kept-full-text: no vault configured</w:t>
            </w:r>
          </w:p>
        </w:tc>
        <w:tc>
          <w:tcPr>
            <w:tcW w:w="1504"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0</w:t>
            </w:r>
          </w:p>
        </w:tc>
      </w:tr>
      <w:tr>
        <w:trPr/>
        <w:tc>
          <w:tcPr>
            <w:tcW w:w="2892" w:type="dxa"/>
            <w:tcBorders/>
            <w:vAlign w:val="center"/>
          </w:tcPr>
          <w:p>
            <w:pPr>
              <w:pStyle w:val="TableContents"/>
              <w:shd w:fill="2E3440" w:val="clear"/>
              <w:bidi w:val="0"/>
              <w:spacing w:before="120" w:after="120"/>
              <w:jc w:val="left"/>
              <w:rPr/>
            </w:pPr>
            <w:r>
              <w:rPr>
                <w:rStyle w:val="SourceText"/>
              </w:rPr>
              <w:t>kept-full-text: vault unavailable</w:t>
            </w:r>
            <w:r>
              <w:rPr/>
              <w:t xml:space="preserve">, </w:t>
            </w:r>
            <w:r>
              <w:rPr>
                <w:rStyle w:val="SourceText"/>
              </w:rPr>
              <w:t>no primary</w:t>
            </w:r>
            <w:r>
              <w:rPr/>
              <w:t xml:space="preserve">, </w:t>
            </w:r>
            <w:r>
              <w:rPr>
                <w:rStyle w:val="SourceText"/>
              </w:rPr>
              <w:t>several primaries</w:t>
            </w:r>
            <w:r>
              <w:rPr/>
              <w:t xml:space="preserve">, </w:t>
            </w:r>
            <w:r>
              <w:rPr>
                <w:rStyle w:val="SourceText"/>
              </w:rPr>
              <w:t>not a vault</w:t>
            </w:r>
            <w:r>
              <w:rPr/>
              <w:t xml:space="preserve">, </w:t>
            </w:r>
            <w:r>
              <w:rPr>
                <w:rStyle w:val="SourceText"/>
              </w:rPr>
              <w:t>config unreadable</w:t>
            </w:r>
          </w:p>
        </w:tc>
        <w:tc>
          <w:tcPr>
            <w:tcW w:w="1504"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r>
        <w:trPr/>
        <w:tc>
          <w:tcPr>
            <w:tcW w:w="2892" w:type="dxa"/>
            <w:tcBorders/>
            <w:vAlign w:val="center"/>
          </w:tcPr>
          <w:p>
            <w:pPr>
              <w:pStyle w:val="TableContents"/>
              <w:shd w:fill="2E3440" w:val="clear"/>
              <w:bidi w:val="0"/>
              <w:spacing w:before="120" w:after="120"/>
              <w:jc w:val="left"/>
              <w:rPr/>
            </w:pPr>
            <w:r>
              <w:rPr>
                <w:rStyle w:val="SourceText"/>
              </w:rPr>
              <w:t>kept-full-text: collision</w:t>
            </w:r>
            <w:r>
              <w:rPr/>
              <w:t xml:space="preserve">, </w:t>
            </w:r>
            <w:r>
              <w:rPr>
                <w:rStyle w:val="SourceText"/>
              </w:rPr>
              <w:t>ascii-required</w:t>
            </w:r>
            <w:r>
              <w:rPr/>
              <w:t xml:space="preserve">, </w:t>
            </w:r>
            <w:r>
              <w:rPr>
                <w:rStyle w:val="SourceText"/>
              </w:rPr>
              <w:t>outside-vault</w:t>
            </w:r>
            <w:r>
              <w:rPr/>
              <w:t xml:space="preserve">, </w:t>
            </w:r>
            <w:r>
              <w:rPr>
                <w:rStyle w:val="SourceText"/>
              </w:rPr>
              <w:t>bad-note-path</w:t>
            </w:r>
            <w:r>
              <w:rPr/>
              <w:t xml:space="preserve">, </w:t>
            </w:r>
            <w:r>
              <w:rPr>
                <w:rStyle w:val="SourceText"/>
              </w:rPr>
              <w:t>the existing note is not UTF-8</w:t>
            </w:r>
          </w:p>
        </w:tc>
        <w:tc>
          <w:tcPr>
            <w:tcW w:w="1504"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r>
        <w:trPr/>
        <w:tc>
          <w:tcPr>
            <w:tcW w:w="2892" w:type="dxa"/>
            <w:tcBorders/>
            <w:vAlign w:val="center"/>
          </w:tcPr>
          <w:p>
            <w:pPr>
              <w:pStyle w:val="TableContents"/>
              <w:shd w:fill="2E3440" w:val="clear"/>
              <w:bidi w:val="0"/>
              <w:spacing w:before="120" w:after="120"/>
              <w:jc w:val="left"/>
              <w:rPr/>
            </w:pPr>
            <w:r>
              <w:rPr>
                <w:rStyle w:val="SourceText"/>
              </w:rPr>
              <w:t>kept-full-text: MEMORY.md is the index</w:t>
            </w:r>
            <w:r>
              <w:rPr/>
              <w:t xml:space="preserve">, </w:t>
            </w:r>
            <w:r>
              <w:rPr>
                <w:rStyle w:val="SourceText"/>
              </w:rPr>
              <w:t>the memory file is a symlink</w:t>
            </w:r>
            <w:r>
              <w:rPr/>
              <w:t xml:space="preserve">, </w:t>
            </w:r>
            <w:r>
              <w:rPr>
                <w:rStyle w:val="SourceText"/>
              </w:rPr>
              <w:t>the memory has no body to save</w:t>
            </w:r>
          </w:p>
        </w:tc>
        <w:tc>
          <w:tcPr>
            <w:tcW w:w="1504"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r>
        <w:trPr/>
        <w:tc>
          <w:tcPr>
            <w:tcW w:w="2892" w:type="dxa"/>
            <w:tcBorders/>
            <w:vAlign w:val="center"/>
          </w:tcPr>
          <w:p>
            <w:pPr>
              <w:pStyle w:val="TableContents"/>
              <w:shd w:fill="2E3440" w:val="clear"/>
              <w:bidi w:val="0"/>
              <w:spacing w:before="120" w:after="120"/>
              <w:jc w:val="left"/>
              <w:rPr/>
            </w:pPr>
            <w:r>
              <w:rPr>
                <w:rStyle w:val="SourceText"/>
              </w:rPr>
              <w:t>kept-full-text: another save is in progress</w:t>
            </w:r>
            <w:r>
              <w:rPr/>
              <w:t xml:space="preserve">, </w:t>
            </w:r>
            <w:r>
              <w:rPr>
                <w:rStyle w:val="SourceText"/>
              </w:rPr>
              <w:t>note write failed</w:t>
            </w:r>
            <w:r>
              <w:rPr/>
              <w:t xml:space="preserve">, </w:t>
            </w:r>
            <w:r>
              <w:rPr>
                <w:rStyle w:val="SourceText"/>
              </w:rPr>
              <w:t>the note changed during save</w:t>
            </w:r>
            <w:r>
              <w:rPr/>
              <w:t xml:space="preserve">, </w:t>
            </w:r>
            <w:r>
              <w:rPr>
                <w:rStyle w:val="SourceText"/>
              </w:rPr>
              <w:t>note not readable after write</w:t>
            </w:r>
            <w:r>
              <w:rPr/>
              <w:t xml:space="preserve">, </w:t>
            </w:r>
            <w:r>
              <w:rPr>
                <w:rStyle w:val="SourceText"/>
              </w:rPr>
              <w:t>the memory file changed during save</w:t>
            </w:r>
            <w:r>
              <w:rPr/>
              <w:t xml:space="preserve">, </w:t>
            </w:r>
            <w:r>
              <w:rPr>
                <w:rStyle w:val="SourceText"/>
              </w:rPr>
              <w:t>the memory file cannot be read again</w:t>
            </w:r>
            <w:r>
              <w:rPr/>
              <w:t xml:space="preserve">, </w:t>
            </w:r>
            <w:r>
              <w:rPr>
                <w:rStyle w:val="SourceText"/>
              </w:rPr>
              <w:t>pointer write failed</w:t>
            </w:r>
          </w:p>
        </w:tc>
        <w:tc>
          <w:tcPr>
            <w:tcW w:w="1504"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bl>
    <w:p>
      <w:pPr>
        <w:pStyle w:val="BodyText"/>
        <w:bidi w:val="0"/>
        <w:jc w:val="left"/>
        <w:rPr/>
      </w:pPr>
      <w:r>
        <w:rPr/>
        <w:t xml:space="preserve">Two </w:t>
      </w:r>
      <w:r>
        <w:rPr>
          <w:rStyle w:val="SourceText"/>
        </w:rPr>
        <w:t>save</w:t>
      </w:r>
      <w:r>
        <w:rPr/>
        <w:t xml:space="preserve"> runs never interleave: each holds a lock file beside the note and beside the memory (</w:t>
      </w:r>
      <w:r>
        <w:rPr>
          <w:rStyle w:val="SourceText"/>
        </w:rPr>
        <w:t>.&lt;name&gt;.crew-save.lock</w:t>
      </w:r>
      <w:r>
        <w:rPr/>
        <w:t xml:space="preserve">; one older than 10 minutes is removed as left by a save that died). The memory and an existing note are compared again right before each rename. An edit by another program in the instant between that compare and the rename is not detected: a rename cannot compare and swap. An existing note keeps every byte, a BOM and CRLF line endings included; only its </w:t>
      </w:r>
      <w:r>
        <w:rPr>
          <w:rStyle w:val="SourceText"/>
        </w:rPr>
        <w:t>updated:</w:t>
      </w:r>
      <w:r>
        <w:rPr/>
        <w:t xml:space="preserve"> value changes and the passage is appended. A new note gets mode 0644 less your umask.</w:t>
      </w:r>
    </w:p>
    <w:p>
      <w:pPr>
        <w:pStyle w:val="BodyText"/>
        <w:bidi w:val="0"/>
        <w:jc w:val="left"/>
        <w:rPr/>
      </w:pPr>
      <w:r>
        <w:rPr/>
        <w:t xml:space="preserve">Claude Code 2.1.289 was seen to keep a one-line pointer body across new sessions (it rewrites the frontmatter when it updates the memory, and kept the pointer). If a later version rewrites the body with full text, </w:t>
      </w:r>
      <w:r>
        <w:rPr>
          <w:rStyle w:val="SourceText"/>
        </w:rPr>
        <w:t>check</w:t>
      </w:r>
      <w:r>
        <w:rPr/>
        <w:t xml:space="preserve"> shows it as </w:t>
      </w:r>
      <w:r>
        <w:rPr>
          <w:rStyle w:val="SourceText"/>
        </w:rPr>
        <w:t>full-text</w:t>
      </w:r>
      <w:r>
        <w:rPr/>
        <w:t xml:space="preserve"> again; run </w:t>
      </w:r>
      <w:r>
        <w:rPr>
          <w:rStyle w:val="SourceText"/>
        </w:rPr>
        <w:t>save</w:t>
      </w:r>
      <w:r>
        <w:rPr/>
        <w:t xml:space="preserve"> again. Converting existing memories in bulk arrives in a later version.</w:t>
      </w:r>
    </w:p>
    <w:p>
      <w:pPr>
        <w:pStyle w:val="Heading2"/>
        <w:bidi w:val="0"/>
        <w:ind w:hanging="0" w:left="0" w:right="0"/>
        <w:jc w:val="left"/>
        <w:rPr/>
      </w:pPr>
      <w:bookmarkStart w:id="13" w:name="confirming-recall-reaches-your-sessions"/>
      <w:bookmarkEnd w:id="13"/>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4" w:name="path-scoped-rules-from-the-code-map"/>
      <w:bookmarkEnd w:id="14"/>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5" w:name="confirming-recall-reaches-your-sessions_"/>
      <w:bookmarkEnd w:id="15"/>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6" w:name="which-channel-reaches-which-agent"/>
      <w:bookmarkEnd w:id="16"/>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5148" w:type="dxa"/>
        <w:jc w:val="left"/>
        <w:tblInd w:w="0" w:type="dxa"/>
        <w:tblLayout w:type="fixed"/>
        <w:tblCellMar>
          <w:top w:w="28" w:type="dxa"/>
          <w:left w:w="28" w:type="dxa"/>
          <w:bottom w:w="28" w:type="dxa"/>
          <w:right w:w="28" w:type="dxa"/>
        </w:tblCellMar>
      </w:tblPr>
      <w:tblGrid>
        <w:gridCol w:w="2116"/>
        <w:gridCol w:w="1454"/>
        <w:gridCol w:w="1578"/>
      </w:tblGrid>
      <w:tr>
        <w:trPr>
          <w:tblHeader w:val="true"/>
        </w:trPr>
        <w:tc>
          <w:tcPr>
            <w:tcW w:w="2116" w:type="dxa"/>
            <w:tcBorders/>
            <w:vAlign w:val="center"/>
          </w:tcPr>
          <w:p>
            <w:pPr>
              <w:pStyle w:val="TableHeading"/>
              <w:suppressLineNumbers/>
              <w:shd w:fill="434C5E" w:val="clear"/>
              <w:bidi w:val="0"/>
              <w:spacing w:before="120" w:after="120"/>
              <w:jc w:val="left"/>
              <w:rPr/>
            </w:pPr>
            <w:r>
              <w:rPr/>
              <w:t>Hook event</w:t>
            </w:r>
          </w:p>
        </w:tc>
        <w:tc>
          <w:tcPr>
            <w:tcW w:w="1454" w:type="dxa"/>
            <w:tcBorders/>
            <w:vAlign w:val="center"/>
          </w:tcPr>
          <w:p>
            <w:pPr>
              <w:pStyle w:val="TableHeading"/>
              <w:suppressLineNumbers/>
              <w:shd w:fill="434C5E" w:val="clear"/>
              <w:bidi w:val="0"/>
              <w:spacing w:before="120" w:after="120"/>
              <w:jc w:val="left"/>
              <w:rPr/>
            </w:pPr>
            <w:r>
              <w:rPr/>
              <w:t>Reaches the main agent</w:t>
            </w:r>
          </w:p>
        </w:tc>
        <w:tc>
          <w:tcPr>
            <w:tcW w:w="1578" w:type="dxa"/>
            <w:tcBorders/>
            <w:vAlign w:val="center"/>
          </w:tcPr>
          <w:p>
            <w:pPr>
              <w:pStyle w:val="TableHeading"/>
              <w:suppressLineNumbers/>
              <w:shd w:fill="434C5E" w:val="clear"/>
              <w:bidi w:val="0"/>
              <w:spacing w:before="120" w:after="120"/>
              <w:jc w:val="left"/>
              <w:rPr/>
            </w:pPr>
            <w:r>
              <w:rPr/>
              <w:t>Reaches a subagent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SubagentStart</w:t>
            </w:r>
          </w:p>
        </w:tc>
        <w:tc>
          <w:tcPr>
            <w:tcW w:w="1454" w:type="dxa"/>
            <w:tcBorders/>
            <w:vAlign w:val="center"/>
          </w:tcPr>
          <w:p>
            <w:pPr>
              <w:pStyle w:val="TableContents"/>
              <w:shd w:fill="2E3440" w:val="clear"/>
              <w:bidi w:val="0"/>
              <w:spacing w:before="120" w:after="120"/>
              <w:jc w:val="left"/>
              <w:rPr/>
            </w:pPr>
            <w:r>
              <w:rPr/>
              <w:t>n/a</w:t>
            </w:r>
          </w:p>
        </w:tc>
        <w:tc>
          <w:tcPr>
            <w:tcW w:w="1578"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7" w:name="where-recall-comes-from"/>
      <w:bookmarkEnd w:id="17"/>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8" w:name="the-seeded-note-proof"/>
      <w:bookmarkEnd w:id="18"/>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19" w:name="measured-against-the-real-vault_opspy-re"/>
      <w:bookmarkEnd w:id="19"/>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20" w:name="reading-stats"/>
      <w:bookmarkEnd w:id="20"/>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