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5148" w:type="dxa"/>
        <w:jc w:val="left"/>
        <w:tblInd w:w="0" w:type="dxa"/>
        <w:tblLayout w:type="fixed"/>
        <w:tblCellMar>
          <w:top w:w="28" w:type="dxa"/>
          <w:left w:w="28" w:type="dxa"/>
          <w:bottom w:w="28" w:type="dxa"/>
          <w:right w:w="28" w:type="dxa"/>
        </w:tblCellMar>
      </w:tblPr>
      <w:tblGrid>
        <w:gridCol w:w="1801"/>
        <w:gridCol w:w="3347"/>
      </w:tblGrid>
      <w:tr>
        <w:trPr>
          <w:tblHeader w:val="true"/>
        </w:trPr>
        <w:tc>
          <w:tcPr>
            <w:tcW w:w="1801" w:type="dxa"/>
            <w:tcBorders/>
            <w:vAlign w:val="center"/>
          </w:tcPr>
          <w:p>
            <w:pPr>
              <w:pStyle w:val="TableHeading"/>
              <w:suppressLineNumbers/>
              <w:shd w:fill="434C5E" w:val="clear"/>
              <w:bidi w:val="0"/>
              <w:spacing w:before="120" w:after="120"/>
              <w:jc w:val="left"/>
              <w:rPr/>
            </w:pPr>
            <w:r>
              <w:rPr/>
              <w:t>When</w:t>
            </w:r>
          </w:p>
        </w:tc>
        <w:tc>
          <w:tcPr>
            <w:tcW w:w="3347" w:type="dxa"/>
            <w:tcBorders/>
            <w:vAlign w:val="center"/>
          </w:tcPr>
          <w:p>
            <w:pPr>
              <w:pStyle w:val="TableHeading"/>
              <w:suppressLineNumbers/>
              <w:shd w:fill="434C5E" w:val="clear"/>
              <w:bidi w:val="0"/>
              <w:spacing w:before="120" w:after="120"/>
              <w:jc w:val="left"/>
              <w:rPr/>
            </w:pPr>
            <w:r>
              <w:rPr/>
              <w:t>Do</w:t>
            </w:r>
          </w:p>
        </w:tc>
      </w:tr>
      <w:tr>
        <w:trPr/>
        <w:tc>
          <w:tcPr>
            <w:tcW w:w="1801" w:type="dxa"/>
            <w:tcBorders/>
            <w:vAlign w:val="center"/>
          </w:tcPr>
          <w:p>
            <w:pPr>
              <w:pStyle w:val="TableContents"/>
              <w:shd w:fill="2E3440" w:val="clear"/>
              <w:bidi w:val="0"/>
              <w:spacing w:before="120" w:after="120"/>
              <w:jc w:val="left"/>
              <w:rPr/>
            </w:pPr>
            <w:r>
              <w:rPr/>
              <w:t>Daily, automatically</w:t>
            </w:r>
          </w:p>
        </w:tc>
        <w:tc>
          <w:tcPr>
            <w:tcW w:w="3347"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801" w:type="dxa"/>
            <w:tcBorders/>
            <w:vAlign w:val="center"/>
          </w:tcPr>
          <w:p>
            <w:pPr>
              <w:pStyle w:val="TableContents"/>
              <w:shd w:fill="2E3440" w:val="clear"/>
              <w:bidi w:val="0"/>
              <w:spacing w:before="120" w:after="120"/>
              <w:jc w:val="left"/>
              <w:rPr/>
            </w:pPr>
            <w:r>
              <w:rPr/>
              <w:t>After a plugin update</w:t>
            </w:r>
          </w:p>
        </w:tc>
        <w:tc>
          <w:tcPr>
            <w:tcW w:w="3347"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801" w:type="dxa"/>
            <w:tcBorders/>
            <w:vAlign w:val="center"/>
          </w:tcPr>
          <w:p>
            <w:pPr>
              <w:pStyle w:val="TableContents"/>
              <w:shd w:fill="2E3440" w:val="clear"/>
              <w:bidi w:val="0"/>
              <w:spacing w:before="120" w:after="120"/>
              <w:jc w:val="left"/>
              <w:rPr/>
            </w:pPr>
            <w:r>
              <w:rPr/>
              <w:t>When a vault moves or you add one</w:t>
            </w:r>
          </w:p>
        </w:tc>
        <w:tc>
          <w:tcPr>
            <w:tcW w:w="3347"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801" w:type="dxa"/>
            <w:tcBorders/>
            <w:vAlign w:val="center"/>
          </w:tcPr>
          <w:p>
            <w:pPr>
              <w:pStyle w:val="TableContents"/>
              <w:shd w:fill="2E3440" w:val="clear"/>
              <w:bidi w:val="0"/>
              <w:spacing w:before="120" w:after="120"/>
              <w:jc w:val="left"/>
              <w:rPr/>
            </w:pPr>
            <w:r>
              <w:rPr/>
              <w:t>When recall seems blind</w:t>
            </w:r>
          </w:p>
        </w:tc>
        <w:tc>
          <w:tcPr>
            <w:tcW w:w="3347"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801" w:type="dxa"/>
            <w:tcBorders/>
            <w:vAlign w:val="center"/>
          </w:tcPr>
          <w:p>
            <w:pPr>
              <w:pStyle w:val="TableContents"/>
              <w:shd w:fill="2E3440" w:val="clear"/>
              <w:bidi w:val="0"/>
              <w:spacing w:before="120" w:after="120"/>
              <w:jc w:val="left"/>
              <w:rPr/>
            </w:pPr>
            <w:r>
              <w:rPr/>
              <w:t>When the bridge misbehaves</w:t>
            </w:r>
          </w:p>
        </w:tc>
        <w:tc>
          <w:tcPr>
            <w:tcW w:w="3347"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801" w:type="dxa"/>
            <w:tcBorders/>
            <w:vAlign w:val="center"/>
          </w:tcPr>
          <w:p>
            <w:pPr>
              <w:pStyle w:val="TableContents"/>
              <w:shd w:fill="2E3440" w:val="clear"/>
              <w:bidi w:val="0"/>
              <w:spacing w:before="120" w:after="120"/>
              <w:jc w:val="left"/>
              <w:rPr/>
            </w:pPr>
            <w:r>
              <w:rPr/>
              <w:t>When the code changed a lot</w:t>
            </w:r>
          </w:p>
        </w:tc>
        <w:tc>
          <w:tcPr>
            <w:tcW w:w="3347"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5148" w:type="dxa"/>
        <w:jc w:val="left"/>
        <w:tblInd w:w="0" w:type="dxa"/>
        <w:tblLayout w:type="fixed"/>
        <w:tblCellMar>
          <w:top w:w="28" w:type="dxa"/>
          <w:left w:w="28" w:type="dxa"/>
          <w:bottom w:w="28" w:type="dxa"/>
          <w:right w:w="28" w:type="dxa"/>
        </w:tblCellMar>
      </w:tblPr>
      <w:tblGrid>
        <w:gridCol w:w="1847"/>
        <w:gridCol w:w="3301"/>
      </w:tblGrid>
      <w:tr>
        <w:trPr>
          <w:tblHeader w:val="true"/>
        </w:trPr>
        <w:tc>
          <w:tcPr>
            <w:tcW w:w="1847" w:type="dxa"/>
            <w:tcBorders/>
            <w:vAlign w:val="center"/>
          </w:tcPr>
          <w:p>
            <w:pPr>
              <w:pStyle w:val="TableHeading"/>
              <w:suppressLineNumbers/>
              <w:shd w:fill="434C5E" w:val="clear"/>
              <w:bidi w:val="0"/>
              <w:spacing w:before="120" w:after="120"/>
              <w:jc w:val="left"/>
              <w:rPr/>
            </w:pPr>
            <w:r>
              <w:rPr/>
              <w:t>Ticket status</w:t>
            </w:r>
          </w:p>
        </w:tc>
        <w:tc>
          <w:tcPr>
            <w:tcW w:w="3301" w:type="dxa"/>
            <w:tcBorders/>
            <w:vAlign w:val="center"/>
          </w:tcPr>
          <w:p>
            <w:pPr>
              <w:pStyle w:val="TableHeading"/>
              <w:suppressLineNumbers/>
              <w:shd w:fill="434C5E" w:val="clear"/>
              <w:bidi w:val="0"/>
              <w:spacing w:before="120" w:after="120"/>
              <w:jc w:val="left"/>
              <w:rPr/>
            </w:pPr>
            <w:r>
              <w:rPr/>
              <w:t>Lane (default name)</w:t>
            </w:r>
          </w:p>
        </w:tc>
      </w:tr>
      <w:tr>
        <w:trPr/>
        <w:tc>
          <w:tcPr>
            <w:tcW w:w="1847"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3301" w:type="dxa"/>
            <w:tcBorders/>
            <w:vAlign w:val="center"/>
          </w:tcPr>
          <w:p>
            <w:pPr>
              <w:pStyle w:val="TableContents"/>
              <w:shd w:fill="2E3440" w:val="clear"/>
              <w:bidi w:val="0"/>
              <w:spacing w:before="120" w:after="120"/>
              <w:jc w:val="left"/>
              <w:rPr/>
            </w:pPr>
            <w:r>
              <w:rPr/>
              <w:t>Backlog</w:t>
            </w:r>
          </w:p>
        </w:tc>
      </w:tr>
      <w:tr>
        <w:trPr/>
        <w:tc>
          <w:tcPr>
            <w:tcW w:w="1847"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3301" w:type="dxa"/>
            <w:tcBorders/>
            <w:vAlign w:val="center"/>
          </w:tcPr>
          <w:p>
            <w:pPr>
              <w:pStyle w:val="TableContents"/>
              <w:shd w:fill="2E3440" w:val="clear"/>
              <w:bidi w:val="0"/>
              <w:spacing w:before="120" w:after="120"/>
              <w:jc w:val="left"/>
              <w:rPr/>
            </w:pPr>
            <w:r>
              <w:rPr/>
              <w:t>Ready</w:t>
            </w:r>
          </w:p>
        </w:tc>
      </w:tr>
      <w:tr>
        <w:trPr/>
        <w:tc>
          <w:tcPr>
            <w:tcW w:w="1847" w:type="dxa"/>
            <w:tcBorders/>
            <w:vAlign w:val="center"/>
          </w:tcPr>
          <w:p>
            <w:pPr>
              <w:pStyle w:val="TableContents"/>
              <w:shd w:fill="2E3440" w:val="clear"/>
              <w:bidi w:val="0"/>
              <w:spacing w:before="120" w:after="120"/>
              <w:jc w:val="left"/>
              <w:rPr/>
            </w:pPr>
            <w:r>
              <w:rPr>
                <w:rStyle w:val="SourceText"/>
              </w:rPr>
              <w:t>in-progress</w:t>
            </w:r>
          </w:p>
        </w:tc>
        <w:tc>
          <w:tcPr>
            <w:tcW w:w="3301" w:type="dxa"/>
            <w:tcBorders/>
            <w:vAlign w:val="center"/>
          </w:tcPr>
          <w:p>
            <w:pPr>
              <w:pStyle w:val="TableContents"/>
              <w:shd w:fill="2E3440" w:val="clear"/>
              <w:bidi w:val="0"/>
              <w:spacing w:before="120" w:after="120"/>
              <w:jc w:val="left"/>
              <w:rPr/>
            </w:pPr>
            <w:r>
              <w:rPr/>
              <w:t>In Progress</w:t>
            </w:r>
          </w:p>
        </w:tc>
      </w:tr>
      <w:tr>
        <w:trPr/>
        <w:tc>
          <w:tcPr>
            <w:tcW w:w="1847" w:type="dxa"/>
            <w:tcBorders/>
            <w:vAlign w:val="center"/>
          </w:tcPr>
          <w:p>
            <w:pPr>
              <w:pStyle w:val="TableContents"/>
              <w:shd w:fill="2E3440" w:val="clear"/>
              <w:bidi w:val="0"/>
              <w:spacing w:before="120" w:after="120"/>
              <w:jc w:val="left"/>
              <w:rPr/>
            </w:pPr>
            <w:r>
              <w:rPr>
                <w:rStyle w:val="SourceText"/>
              </w:rPr>
              <w:t>review</w:t>
            </w:r>
          </w:p>
        </w:tc>
        <w:tc>
          <w:tcPr>
            <w:tcW w:w="3301" w:type="dxa"/>
            <w:tcBorders/>
            <w:vAlign w:val="center"/>
          </w:tcPr>
          <w:p>
            <w:pPr>
              <w:pStyle w:val="TableContents"/>
              <w:shd w:fill="2E3440" w:val="clear"/>
              <w:bidi w:val="0"/>
              <w:spacing w:before="120" w:after="120"/>
              <w:jc w:val="left"/>
              <w:rPr/>
            </w:pPr>
            <w:r>
              <w:rPr/>
              <w:t>Review</w:t>
            </w:r>
          </w:p>
        </w:tc>
      </w:tr>
      <w:tr>
        <w:trPr/>
        <w:tc>
          <w:tcPr>
            <w:tcW w:w="1847" w:type="dxa"/>
            <w:tcBorders/>
            <w:vAlign w:val="center"/>
          </w:tcPr>
          <w:p>
            <w:pPr>
              <w:pStyle w:val="TableContents"/>
              <w:shd w:fill="2E3440" w:val="clear"/>
              <w:bidi w:val="0"/>
              <w:spacing w:before="120" w:after="120"/>
              <w:jc w:val="left"/>
              <w:rPr/>
            </w:pPr>
            <w:r>
              <w:rPr>
                <w:rStyle w:val="SourceText"/>
              </w:rPr>
              <w:t>done</w:t>
            </w:r>
          </w:p>
        </w:tc>
        <w:tc>
          <w:tcPr>
            <w:tcW w:w="330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is a pointer attempt when </w:t>
      </w:r>
      <w:r>
        <w:rPr>
          <w:rStyle w:val="SourceText"/>
        </w:rPr>
        <w:t>note:</w:t>
      </w:r>
      <w:r>
        <w:rPr/>
        <w:t xml:space="preserve"> or </w:t>
      </w:r>
      <w:r>
        <w:rPr>
          <w:rStyle w:val="SourceText"/>
        </w:rPr>
        <w:t>|</w:t>
      </w:r>
      <w:r>
        <w:rPr/>
        <w:t xml:space="preserve"> is on that line, or the next line starts with </w:t>
      </w:r>
      <w:r>
        <w:rPr>
          <w:rStyle w:val="SourceText"/>
        </w:rPr>
        <w:t>|</w:t>
      </w:r>
      <w:r>
        <w:rPr/>
        <w:t xml:space="preserve"> or </w:t>
      </w:r>
      <w:r>
        <w:rPr>
          <w:rStyle w:val="SourceText"/>
        </w:rPr>
        <w:t>note:</w:t>
      </w:r>
      <w:r>
        <w:rPr/>
        <w:t xml:space="preserve"> (a pointer wrapped before its </w:t>
      </w:r>
      <w:r>
        <w:rPr>
          <w:rStyle w:val="SourceText"/>
        </w:rPr>
        <w:t>|</w:t>
      </w:r>
      <w:r>
        <w:rPr/>
        <w:t>), or the line is a bare vault name alone (</w:t>
      </w:r>
      <w:r>
        <w:rPr>
          <w:rStyle w:val="SourceText"/>
        </w:rPr>
        <w:t>vault: work</w:t>
      </w:r>
      <w:r>
        <w:rPr/>
        <w:t xml:space="preserve">); a table or a </w:t>
      </w:r>
      <w:r>
        <w:rPr>
          <w:rStyle w:val="SourceText"/>
        </w:rPr>
        <w:t>Note:</w:t>
      </w:r>
      <w:r>
        <w:rPr/>
        <w:t xml:space="preserve"> line further down does not count; anything less than the full grammar is then </w:t>
      </w:r>
      <w:r>
        <w:rPr>
          <w:rStyle w:val="SourceText"/>
        </w:rPr>
        <w:t>malformed</w:t>
      </w:r>
      <w:r>
        <w:rPr/>
        <w:t xml:space="preserve">. With neither the line is prose: </w:t>
      </w:r>
      <w:r>
        <w:rPr>
          <w:rStyle w:val="SourceText"/>
        </w:rPr>
        <w:t>Vault: keep client notes in the work vault</w:t>
      </w:r>
      <w:r>
        <w:rPr/>
        <w:t xml:space="preserve"> is a memory, not a pointer.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no duplicate key, not nested too deep, at most 1 MiB) is </w:t>
      </w:r>
      <w:r>
        <w:rPr>
          <w:rStyle w:val="SourceText"/>
        </w:rPr>
        <w:t>no-vault-config</w:t>
      </w:r>
      <w:r>
        <w:rPr/>
        <w:t xml:space="preserve">, naming the field. A bad Obsidian config stops every name; a bad crew config stops </w:t>
      </w:r>
      <w:r>
        <w:rPr>
          <w:rStyle w:val="SourceText"/>
        </w:rPr>
        <w:t>memory</w:t>
      </w:r>
      <w:r>
        <w:rPr/>
        <w:t>, the one name it can answer for, and any name when there is no Obsidian config to say which failure applies.</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5148" w:type="dxa"/>
        <w:jc w:val="left"/>
        <w:tblInd w:w="0" w:type="dxa"/>
        <w:tblLayout w:type="fixed"/>
        <w:tblCellMar>
          <w:top w:w="28" w:type="dxa"/>
          <w:left w:w="28" w:type="dxa"/>
          <w:bottom w:w="28" w:type="dxa"/>
          <w:right w:w="28" w:type="dxa"/>
        </w:tblCellMar>
      </w:tblPr>
      <w:tblGrid>
        <w:gridCol w:w="2236"/>
        <w:gridCol w:w="2161"/>
        <w:gridCol w:w="751"/>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2161" w:type="dxa"/>
            <w:tcBorders/>
            <w:vAlign w:val="center"/>
          </w:tcPr>
          <w:p>
            <w:pPr>
              <w:pStyle w:val="TableHeading"/>
              <w:suppressLineNumbers/>
              <w:shd w:fill="434C5E" w:val="clear"/>
              <w:bidi w:val="0"/>
              <w:spacing w:before="120" w:after="120"/>
              <w:jc w:val="left"/>
              <w:rPr/>
            </w:pPr>
            <w:r>
              <w:rPr/>
              <w:t>meaning</w:t>
            </w:r>
          </w:p>
        </w:tc>
        <w:tc>
          <w:tcPr>
            <w:tcW w:w="751"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2161" w:type="dxa"/>
            <w:tcBorders/>
            <w:vAlign w:val="center"/>
          </w:tcPr>
          <w:p>
            <w:pPr>
              <w:pStyle w:val="TableContents"/>
              <w:shd w:fill="2E3440" w:val="clear"/>
              <w:bidi w:val="0"/>
              <w:spacing w:before="120" w:after="120"/>
              <w:jc w:val="left"/>
              <w:rPr/>
            </w:pPr>
            <w:r>
              <w:rPr/>
              <w:t>the note exists on this host</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2161" w:type="dxa"/>
            <w:tcBorders/>
            <w:vAlign w:val="center"/>
          </w:tcPr>
          <w:p>
            <w:pPr>
              <w:pStyle w:val="TableContents"/>
              <w:shd w:fill="2E3440" w:val="clear"/>
              <w:bidi w:val="0"/>
              <w:spacing w:before="120" w:after="120"/>
              <w:jc w:val="left"/>
              <w:rPr/>
            </w:pPr>
            <w:r>
              <w:rPr/>
              <w:t>not a pointer; the body is the memory</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2161"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2161"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2161"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2161" w:type="dxa"/>
            <w:tcBorders/>
            <w:vAlign w:val="center"/>
          </w:tcPr>
          <w:p>
            <w:pPr>
              <w:pStyle w:val="TableContents"/>
              <w:shd w:fill="2E3440" w:val="clear"/>
              <w:bidi w:val="0"/>
              <w:spacing w:before="120" w:after="120"/>
              <w:jc w:val="left"/>
              <w:rPr/>
            </w:pPr>
            <w:r>
              <w:rPr/>
              <w:t>the configured folder is not there (not mounted, not synced)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2161" w:type="dxa"/>
            <w:tcBorders/>
            <w:vAlign w:val="center"/>
          </w:tcPr>
          <w:p>
            <w:pPr>
              <w:pStyle w:val="TableContents"/>
              <w:shd w:fill="2E3440" w:val="clear"/>
              <w:bidi w:val="0"/>
              <w:spacing w:before="120" w:after="120"/>
              <w:jc w:val="left"/>
              <w:rPr/>
            </w:pPr>
            <w:r>
              <w:rPr/>
              <w:t>the vault is there, the note is not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2161" w:type="dxa"/>
            <w:tcBorders/>
            <w:vAlign w:val="center"/>
          </w:tcPr>
          <w:p>
            <w:pPr>
              <w:pStyle w:val="TableContents"/>
              <w:shd w:fill="2E3440" w:val="clear"/>
              <w:bidi w:val="0"/>
              <w:spacing w:before="120" w:after="120"/>
              <w:jc w:val="left"/>
              <w:rPr/>
            </w:pPr>
            <w:r>
              <w:rPr/>
              <w:t>the path passes through a symlink inside the vault, or leaves it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2161"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5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w:t>
      </w:r>
    </w:p>
    <w:p>
      <w:pPr>
        <w:pStyle w:val="Heading3"/>
        <w:bidi w:val="0"/>
        <w:ind w:hanging="0" w:left="0" w:right="0"/>
        <w:jc w:val="left"/>
        <w:rPr/>
      </w:pPr>
      <w:bookmarkStart w:id="12" w:name="saving-a-memory-as-a-pointer"/>
      <w:bookmarkEnd w:id="12"/>
      <w:r>
        <w:rPr/>
        <w:t>Saving a Memory as a Pointer</w:t>
      </w:r>
    </w:p>
    <w:p>
      <w:pPr>
        <w:pStyle w:val="BodyText"/>
        <w:bidi w:val="0"/>
        <w:jc w:val="left"/>
        <w:rPr/>
      </w:pPr>
      <w:r>
        <w:rPr>
          <w:rStyle w:val="SourceText"/>
        </w:rPr>
        <w:t>save</w:t>
      </w:r>
      <w:r>
        <w:rPr/>
        <w:t xml:space="preserve"> turns one memory that holds its full text into a pointer, note first:</w:t>
      </w:r>
    </w:p>
    <w:p>
      <w:pPr>
        <w:pStyle w:val="PreformattedText"/>
        <w:bidi w:val="0"/>
        <w:jc w:val="left"/>
        <w:rPr/>
      </w:pPr>
      <w:r>
        <w:rPr>
          <w:rStyle w:val="SourceText"/>
        </w:rPr>
        <w:t>python3 plugin/crew/hooks/scripts/crew_memory.py save --file &lt;memory file&gt; --tag &lt;tag&gt;</w:t>
      </w:r>
    </w:p>
    <w:p>
      <w:pPr>
        <w:pStyle w:val="PreformattedText"/>
        <w:bidi w:val="0"/>
        <w:jc w:val="left"/>
        <w:rPr/>
      </w:pPr>
      <w:r>
        <w:rPr>
          <w:rStyle w:val="SourceText"/>
        </w:rPr>
        <w:t>python3 plugin/crew/hooks/scripts/crew_memory.py save --file &lt;memory file&gt; --tag &lt;tag&gt; --apply</w:t>
      </w:r>
    </w:p>
    <w:p>
      <w:pPr>
        <w:pStyle w:val="BodyText"/>
        <w:bidi w:val="0"/>
        <w:jc w:val="left"/>
        <w:rPr/>
      </w:pPr>
      <w:r>
        <w:rPr/>
        <w:t xml:space="preserve">Without </w:t>
      </w:r>
      <w:r>
        <w:rPr>
          <w:rStyle w:val="SourceText"/>
        </w:rPr>
        <w:t>--apply</w:t>
      </w:r>
      <w:r>
        <w:rPr/>
        <w:t xml:space="preserve"> it prints the plan (the vault, the note, </w:t>
      </w:r>
      <w:r>
        <w:rPr>
          <w:rStyle w:val="SourceText"/>
        </w:rPr>
        <w:t>create</w:t>
      </w:r>
      <w:r>
        <w:rPr/>
        <w:t xml:space="preserve">, </w:t>
      </w:r>
      <w:r>
        <w:rPr>
          <w:rStyle w:val="SourceText"/>
        </w:rPr>
        <w:t>append</w:t>
      </w:r>
      <w:r>
        <w:rPr/>
        <w:t xml:space="preserve"> or </w:t>
      </w:r>
      <w:r>
        <w:rPr>
          <w:rStyle w:val="SourceText"/>
        </w:rPr>
        <w:t>unchanged</w:t>
      </w:r>
      <w:r>
        <w:rPr/>
        <w:t xml:space="preserve">, and the pointer line) and writes nothing. Read your vault's own </w:t>
      </w:r>
      <w:r>
        <w:rPr>
          <w:rStyle w:val="SourceText"/>
        </w:rPr>
        <w:t>CLAUDE.md</w:t>
      </w:r>
      <w:r>
        <w:rPr/>
        <w:t xml:space="preserve"> for its folders and tags first; </w:t>
      </w:r>
      <w:r>
        <w:rPr>
          <w:rStyle w:val="SourceText"/>
        </w:rPr>
        <w:t>--note</w:t>
      </w:r>
      <w:r>
        <w:rPr/>
        <w:t xml:space="preserve">, </w:t>
      </w:r>
      <w:r>
        <w:rPr>
          <w:rStyle w:val="SourceText"/>
        </w:rPr>
        <w:t>--title</w:t>
      </w:r>
      <w:r>
        <w:rPr/>
        <w:t xml:space="preserve">, </w:t>
      </w:r>
      <w:r>
        <w:rPr>
          <w:rStyle w:val="SourceText"/>
        </w:rPr>
        <w:t>--type</w:t>
      </w:r>
      <w:r>
        <w:rPr/>
        <w:t xml:space="preserve"> (</w:t>
      </w:r>
      <w:r>
        <w:rPr>
          <w:rStyle w:val="SourceText"/>
        </w:rPr>
        <w:t>concept</w:t>
      </w:r>
      <w:r>
        <w:rPr/>
        <w:t xml:space="preserve"> by default) and </w:t>
      </w:r>
      <w:r>
        <w:rPr>
          <w:rStyle w:val="SourceText"/>
        </w:rPr>
        <w:t>--project</w:t>
      </w:r>
      <w:r>
        <w:rPr/>
        <w:t xml:space="preserve"> change the defaults (</w:t>
      </w:r>
      <w:r>
        <w:rPr>
          <w:rStyle w:val="SourceText"/>
        </w:rPr>
        <w:t>memories/&lt;project&gt;/&lt;title&gt;.md</w:t>
      </w:r>
      <w:r>
        <w:rPr/>
        <w:t xml:space="preserve">, the title taken from the memory's </w:t>
      </w:r>
      <w:r>
        <w:rPr>
          <w:rStyle w:val="SourceText"/>
        </w:rPr>
        <w:t>name:</w:t>
      </w:r>
      <w:r>
        <w:rPr/>
        <w:t xml:space="preserve"> line).</w:t>
      </w:r>
    </w:p>
    <w:p>
      <w:pPr>
        <w:pStyle w:val="BodyText"/>
        <w:bidi w:val="0"/>
        <w:jc w:val="left"/>
        <w:rPr/>
      </w:pPr>
      <w:r>
        <w:rPr/>
        <w:t xml:space="preserve">It writes only to the one writable vault: the vault with role </w:t>
      </w:r>
      <w:r>
        <w:rPr>
          <w:rStyle w:val="SourceText"/>
        </w:rPr>
        <w:t>primary</w:t>
      </w:r>
      <w:r>
        <w:rPr/>
        <w:t xml:space="preserve"> (without roles, the </w:t>
      </w:r>
      <w:r>
        <w:rPr>
          <w:rStyle w:val="SourceText"/>
        </w:rPr>
        <w:t>default: true</w:t>
      </w:r>
      <w:r>
        <w:rPr/>
        <w:t xml:space="preserve"> vault, else the first; with no </w:t>
      </w:r>
      <w:r>
        <w:rPr>
          <w:rStyle w:val="SourceText"/>
        </w:rPr>
        <w:t>vaults</w:t>
      </w:r>
      <w:r>
        <w:rPr/>
        <w:t xml:space="preserve"> block, </w:t>
      </w:r>
      <w:r>
        <w:rPr>
          <w:rStyle w:val="SourceText"/>
        </w:rPr>
        <w:t>memory</w:t>
      </w:r>
      <w:r>
        <w:rPr/>
        <w:t xml:space="preserve">). The folder must hold </w:t>
      </w:r>
      <w:r>
        <w:rPr>
          <w:rStyle w:val="SourceText"/>
        </w:rPr>
        <w:t>.obsidian/</w:t>
      </w:r>
      <w:r>
        <w:rPr/>
        <w:t xml:space="preserve">. A </w:t>
      </w:r>
      <w:r>
        <w:rPr>
          <w:rStyle w:val="SourceText"/>
        </w:rPr>
        <w:t>recall</w:t>
      </w:r>
      <w:r>
        <w:rPr/>
        <w:t xml:space="preserve"> or </w:t>
      </w:r>
      <w:r>
        <w:rPr>
          <w:rStyle w:val="SourceText"/>
        </w:rPr>
        <w:t>ignore</w:t>
      </w:r>
      <w:r>
        <w:rPr/>
        <w:t xml:space="preserve"> vault is never written, and a primary that is not mounted is reported, not replaced. The note gets the vault's six frontmatter keys plus </w:t>
      </w:r>
      <w:r>
        <w:rPr>
          <w:rStyle w:val="SourceText"/>
        </w:rPr>
        <w:t>project</w:t>
      </w:r>
      <w:r>
        <w:rPr/>
        <w:t xml:space="preserve"> and </w:t>
      </w:r>
      <w:r>
        <w:rPr>
          <w:rStyle w:val="SourceText"/>
        </w:rPr>
        <w:t>memory_id</w:t>
      </w:r>
      <w:r>
        <w:rPr/>
        <w:t xml:space="preserve">; saving the same memory again appends a dated </w:t>
      </w:r>
      <w:r>
        <w:rPr>
          <w:rStyle w:val="SourceText"/>
        </w:rPr>
        <w:t>## Update</w:t>
      </w:r>
      <w:r>
        <w:rPr/>
        <w:t xml:space="preserve"> passage, and a note that belongs to another memory is a </w:t>
      </w:r>
      <w:r>
        <w:rPr>
          <w:rStyle w:val="SourceText"/>
        </w:rPr>
        <w:t>collision</w:t>
      </w:r>
      <w:r>
        <w:rPr/>
        <w:t>.</w:t>
      </w:r>
    </w:p>
    <w:p>
      <w:pPr>
        <w:pStyle w:val="BodyText"/>
        <w:bidi w:val="0"/>
        <w:jc w:val="left"/>
        <w:rPr/>
      </w:pPr>
      <w:r>
        <w:rPr/>
        <w:t xml:space="preserve">The order is the point. The note is written through a temp file, read back, and the pointer resolved; only then is the memory's body replaced, its frontmatter kept byte for byte, through a temp file and a rename. Any refusal or failure prints </w:t>
      </w:r>
      <w:r>
        <w:rPr>
          <w:rStyle w:val="SourceText"/>
        </w:rPr>
        <w:t>kept-full-text: &lt;reason&gt;</w:t>
      </w:r>
      <w:r>
        <w:rPr/>
        <w:t xml:space="preserve"> and leaves the memory exactly as it was:</w:t>
      </w:r>
    </w:p>
    <w:tbl>
      <w:tblPr>
        <w:tblW w:w="5148" w:type="dxa"/>
        <w:jc w:val="left"/>
        <w:tblInd w:w="0" w:type="dxa"/>
        <w:tblLayout w:type="fixed"/>
        <w:tblCellMar>
          <w:top w:w="28" w:type="dxa"/>
          <w:left w:w="28" w:type="dxa"/>
          <w:bottom w:w="28" w:type="dxa"/>
          <w:right w:w="28" w:type="dxa"/>
        </w:tblCellMar>
      </w:tblPr>
      <w:tblGrid>
        <w:gridCol w:w="2832"/>
        <w:gridCol w:w="1564"/>
        <w:gridCol w:w="752"/>
      </w:tblGrid>
      <w:tr>
        <w:trPr>
          <w:tblHeader w:val="true"/>
        </w:trPr>
        <w:tc>
          <w:tcPr>
            <w:tcW w:w="2832" w:type="dxa"/>
            <w:tcBorders/>
            <w:vAlign w:val="center"/>
          </w:tcPr>
          <w:p>
            <w:pPr>
              <w:pStyle w:val="TableHeading"/>
              <w:suppressLineNumbers/>
              <w:shd w:fill="434C5E" w:val="clear"/>
              <w:bidi w:val="0"/>
              <w:spacing w:before="120" w:after="120"/>
              <w:jc w:val="left"/>
              <w:rPr/>
            </w:pPr>
            <w:r>
              <w:rPr/>
              <w:t>state</w:t>
            </w:r>
          </w:p>
        </w:tc>
        <w:tc>
          <w:tcPr>
            <w:tcW w:w="1564" w:type="dxa"/>
            <w:tcBorders/>
            <w:vAlign w:val="center"/>
          </w:tcPr>
          <w:p>
            <w:pPr>
              <w:pStyle w:val="TableHeading"/>
              <w:suppressLineNumbers/>
              <w:shd w:fill="434C5E" w:val="clear"/>
              <w:bidi w:val="0"/>
              <w:spacing w:before="120" w:after="120"/>
              <w:jc w:val="left"/>
              <w:rPr/>
            </w:pPr>
            <w:r>
              <w:rPr/>
              <w:t>memory file</w:t>
            </w:r>
          </w:p>
        </w:tc>
        <w:tc>
          <w:tcPr>
            <w:tcW w:w="752" w:type="dxa"/>
            <w:tcBorders/>
            <w:vAlign w:val="center"/>
          </w:tcPr>
          <w:p>
            <w:pPr>
              <w:pStyle w:val="TableHeading"/>
              <w:suppressLineNumbers/>
              <w:shd w:fill="434C5E" w:val="clear"/>
              <w:bidi w:val="0"/>
              <w:spacing w:before="120" w:after="120"/>
              <w:jc w:val="left"/>
              <w:rPr/>
            </w:pPr>
            <w:r>
              <w:rPr/>
              <w:t>exit</w:t>
            </w:r>
          </w:p>
        </w:tc>
      </w:tr>
      <w:tr>
        <w:trPr/>
        <w:tc>
          <w:tcPr>
            <w:tcW w:w="2832" w:type="dxa"/>
            <w:tcBorders/>
            <w:vAlign w:val="center"/>
          </w:tcPr>
          <w:p>
            <w:pPr>
              <w:pStyle w:val="TableContents"/>
              <w:shd w:fill="2E3440" w:val="clear"/>
              <w:bidi w:val="0"/>
              <w:spacing w:before="120" w:after="120"/>
              <w:jc w:val="left"/>
              <w:rPr/>
            </w:pPr>
            <w:r>
              <w:rPr>
                <w:rStyle w:val="SourceText"/>
              </w:rPr>
              <w:t>pointer-written</w:t>
            </w:r>
          </w:p>
        </w:tc>
        <w:tc>
          <w:tcPr>
            <w:tcW w:w="1564" w:type="dxa"/>
            <w:tcBorders/>
            <w:vAlign w:val="center"/>
          </w:tcPr>
          <w:p>
            <w:pPr>
              <w:pStyle w:val="TableContents"/>
              <w:shd w:fill="2E3440" w:val="clear"/>
              <w:bidi w:val="0"/>
              <w:spacing w:before="120" w:after="120"/>
              <w:jc w:val="left"/>
              <w:rPr/>
            </w:pPr>
            <w:r>
              <w:rPr/>
              <w:t>body replaced by the pointer</w:t>
            </w:r>
          </w:p>
        </w:tc>
        <w:tc>
          <w:tcPr>
            <w:tcW w:w="752" w:type="dxa"/>
            <w:tcBorders/>
            <w:vAlign w:val="center"/>
          </w:tcPr>
          <w:p>
            <w:pPr>
              <w:pStyle w:val="TableContents"/>
              <w:shd w:fill="2E3440" w:val="clear"/>
              <w:bidi w:val="0"/>
              <w:spacing w:before="120" w:after="120"/>
              <w:jc w:val="left"/>
              <w:rPr/>
            </w:pPr>
            <w:r>
              <w:rPr/>
              <w:t>0</w:t>
            </w:r>
          </w:p>
        </w:tc>
      </w:tr>
      <w:tr>
        <w:trPr/>
        <w:tc>
          <w:tcPr>
            <w:tcW w:w="2832" w:type="dxa"/>
            <w:tcBorders/>
            <w:vAlign w:val="center"/>
          </w:tcPr>
          <w:p>
            <w:pPr>
              <w:pStyle w:val="TableContents"/>
              <w:shd w:fill="2E3440" w:val="clear"/>
              <w:bidi w:val="0"/>
              <w:spacing w:before="120" w:after="120"/>
              <w:jc w:val="left"/>
              <w:rPr/>
            </w:pPr>
            <w:r>
              <w:rPr>
                <w:rStyle w:val="SourceText"/>
              </w:rPr>
              <w:t>already-pointer</w:t>
            </w:r>
          </w:p>
        </w:tc>
        <w:tc>
          <w:tcPr>
            <w:tcW w:w="1564"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32" w:type="dxa"/>
            <w:tcBorders/>
            <w:vAlign w:val="center"/>
          </w:tcPr>
          <w:p>
            <w:pPr>
              <w:pStyle w:val="TableContents"/>
              <w:shd w:fill="2E3440" w:val="clear"/>
              <w:bidi w:val="0"/>
              <w:spacing w:before="120" w:after="120"/>
              <w:jc w:val="left"/>
              <w:rPr/>
            </w:pPr>
            <w:r>
              <w:rPr>
                <w:rStyle w:val="SourceText"/>
              </w:rPr>
              <w:t>kept-full-text: no vault configured</w:t>
            </w:r>
          </w:p>
        </w:tc>
        <w:tc>
          <w:tcPr>
            <w:tcW w:w="1564"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32" w:type="dxa"/>
            <w:tcBorders/>
            <w:vAlign w:val="center"/>
          </w:tcPr>
          <w:p>
            <w:pPr>
              <w:pStyle w:val="TableContents"/>
              <w:shd w:fill="2E3440" w:val="clear"/>
              <w:bidi w:val="0"/>
              <w:spacing w:before="120" w:after="120"/>
              <w:jc w:val="left"/>
              <w:rPr/>
            </w:pPr>
            <w:r>
              <w:rPr>
                <w:rStyle w:val="SourceText"/>
              </w:rPr>
              <w:t>kept-full-text: vault unavailable</w:t>
            </w:r>
            <w:r>
              <w:rPr/>
              <w:t xml:space="preserve">, </w:t>
            </w:r>
            <w:r>
              <w:rPr>
                <w:rStyle w:val="SourceText"/>
              </w:rPr>
              <w:t>no primary</w:t>
            </w:r>
            <w:r>
              <w:rPr/>
              <w:t xml:space="preserve">, </w:t>
            </w:r>
            <w:r>
              <w:rPr>
                <w:rStyle w:val="SourceText"/>
              </w:rPr>
              <w:t>several primaries</w:t>
            </w:r>
            <w:r>
              <w:rPr/>
              <w:t xml:space="preserve">, </w:t>
            </w:r>
            <w:r>
              <w:rPr>
                <w:rStyle w:val="SourceText"/>
              </w:rPr>
              <w:t>not a vault</w:t>
            </w:r>
            <w:r>
              <w:rPr/>
              <w:t xml:space="preserve">, </w:t>
            </w:r>
            <w:r>
              <w:rPr>
                <w:rStyle w:val="SourceText"/>
              </w:rPr>
              <w:t>config unreadable</w:t>
            </w:r>
          </w:p>
        </w:tc>
        <w:tc>
          <w:tcPr>
            <w:tcW w:w="1564"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32" w:type="dxa"/>
            <w:tcBorders/>
            <w:vAlign w:val="center"/>
          </w:tcPr>
          <w:p>
            <w:pPr>
              <w:pStyle w:val="TableContents"/>
              <w:shd w:fill="2E3440" w:val="clear"/>
              <w:bidi w:val="0"/>
              <w:spacing w:before="120" w:after="120"/>
              <w:jc w:val="left"/>
              <w:rPr/>
            </w:pPr>
            <w:r>
              <w:rPr>
                <w:rStyle w:val="SourceText"/>
              </w:rPr>
              <w:t>kept-full-text: collision</w:t>
            </w:r>
            <w:r>
              <w:rPr/>
              <w:t xml:space="preserve">, </w:t>
            </w:r>
            <w:r>
              <w:rPr>
                <w:rStyle w:val="SourceText"/>
              </w:rPr>
              <w:t>ascii-required</w:t>
            </w:r>
            <w:r>
              <w:rPr/>
              <w:t xml:space="preserve">, </w:t>
            </w:r>
            <w:r>
              <w:rPr>
                <w:rStyle w:val="SourceText"/>
              </w:rPr>
              <w:t>outside-vault</w:t>
            </w:r>
            <w:r>
              <w:rPr/>
              <w:t xml:space="preserve">, </w:t>
            </w:r>
            <w:r>
              <w:rPr>
                <w:rStyle w:val="SourceText"/>
              </w:rPr>
              <w:t>bad-note-path</w:t>
            </w:r>
          </w:p>
        </w:tc>
        <w:tc>
          <w:tcPr>
            <w:tcW w:w="1564"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32" w:type="dxa"/>
            <w:tcBorders/>
            <w:vAlign w:val="center"/>
          </w:tcPr>
          <w:p>
            <w:pPr>
              <w:pStyle w:val="TableContents"/>
              <w:shd w:fill="2E3440" w:val="clear"/>
              <w:bidi w:val="0"/>
              <w:spacing w:before="120" w:after="120"/>
              <w:jc w:val="left"/>
              <w:rPr/>
            </w:pPr>
            <w:r>
              <w:rPr>
                <w:rStyle w:val="SourceText"/>
              </w:rPr>
              <w:t>kept-full-text: note write failed</w:t>
            </w:r>
            <w:r>
              <w:rPr/>
              <w:t xml:space="preserve">, </w:t>
            </w:r>
            <w:r>
              <w:rPr>
                <w:rStyle w:val="SourceText"/>
              </w:rPr>
              <w:t>note not readable after write</w:t>
            </w:r>
            <w:r>
              <w:rPr/>
              <w:t xml:space="preserve">, </w:t>
            </w:r>
            <w:r>
              <w:rPr>
                <w:rStyle w:val="SourceText"/>
              </w:rPr>
              <w:t>pointer write failed</w:t>
            </w:r>
            <w:r>
              <w:rPr/>
              <w:t xml:space="preserve">, </w:t>
            </w:r>
            <w:r>
              <w:rPr>
                <w:rStyle w:val="SourceText"/>
              </w:rPr>
              <w:t>the memory file changed during save</w:t>
            </w:r>
          </w:p>
        </w:tc>
        <w:tc>
          <w:tcPr>
            <w:tcW w:w="1564"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bl>
    <w:p>
      <w:pPr>
        <w:pStyle w:val="BodyText"/>
        <w:bidi w:val="0"/>
        <w:jc w:val="left"/>
        <w:rPr/>
      </w:pPr>
      <w:r>
        <w:rPr/>
        <w:t xml:space="preserve">Claude Code 2.1.289 was seen to keep a one-line pointer body across new sessions (it rewrites the frontmatter when it updates the memory, and kept the pointer). If a later version rewrites the body with full text, </w:t>
      </w:r>
      <w:r>
        <w:rPr>
          <w:rStyle w:val="SourceText"/>
        </w:rPr>
        <w:t>check</w:t>
      </w:r>
      <w:r>
        <w:rPr/>
        <w:t xml:space="preserve"> shows it as </w:t>
      </w:r>
      <w:r>
        <w:rPr>
          <w:rStyle w:val="SourceText"/>
        </w:rPr>
        <w:t>full-text</w:t>
      </w:r>
      <w:r>
        <w:rPr/>
        <w:t xml:space="preserve"> again; run </w:t>
      </w:r>
      <w:r>
        <w:rPr>
          <w:rStyle w:val="SourceText"/>
        </w:rPr>
        <w:t>save</w:t>
      </w:r>
      <w:r>
        <w:rPr/>
        <w:t xml:space="preserve"> again. Converting existing memories in bulk arrives in a later version.</w:t>
      </w:r>
    </w:p>
    <w:p>
      <w:pPr>
        <w:pStyle w:val="Heading2"/>
        <w:bidi w:val="0"/>
        <w:ind w:hanging="0" w:left="0" w:right="0"/>
        <w:jc w:val="left"/>
        <w:rPr/>
      </w:pPr>
      <w:bookmarkStart w:id="13" w:name="confirming-recall-reaches-your-sessions"/>
      <w:bookmarkEnd w:id="13"/>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4" w:name="path-scoped-rules-from-the-code-map"/>
      <w:bookmarkEnd w:id="14"/>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5" w:name="confirming-recall-reaches-your-sessions_"/>
      <w:bookmarkEnd w:id="15"/>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6" w:name="which-channel-reaches-which-agent"/>
      <w:bookmarkEnd w:id="16"/>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5148" w:type="dxa"/>
        <w:jc w:val="left"/>
        <w:tblInd w:w="0" w:type="dxa"/>
        <w:tblLayout w:type="fixed"/>
        <w:tblCellMar>
          <w:top w:w="28" w:type="dxa"/>
          <w:left w:w="28" w:type="dxa"/>
          <w:bottom w:w="28" w:type="dxa"/>
          <w:right w:w="28" w:type="dxa"/>
        </w:tblCellMar>
      </w:tblPr>
      <w:tblGrid>
        <w:gridCol w:w="2116"/>
        <w:gridCol w:w="1454"/>
        <w:gridCol w:w="1578"/>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454" w:type="dxa"/>
            <w:tcBorders/>
            <w:vAlign w:val="center"/>
          </w:tcPr>
          <w:p>
            <w:pPr>
              <w:pStyle w:val="TableHeading"/>
              <w:suppressLineNumbers/>
              <w:shd w:fill="434C5E" w:val="clear"/>
              <w:bidi w:val="0"/>
              <w:spacing w:before="120" w:after="120"/>
              <w:jc w:val="left"/>
              <w:rPr/>
            </w:pPr>
            <w:r>
              <w:rPr/>
              <w:t>Reaches the main agent</w:t>
            </w:r>
          </w:p>
        </w:tc>
        <w:tc>
          <w:tcPr>
            <w:tcW w:w="1578"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454" w:type="dxa"/>
            <w:tcBorders/>
            <w:vAlign w:val="center"/>
          </w:tcPr>
          <w:p>
            <w:pPr>
              <w:pStyle w:val="TableContents"/>
              <w:shd w:fill="2E3440" w:val="clear"/>
              <w:bidi w:val="0"/>
              <w:spacing w:before="120" w:after="120"/>
              <w:jc w:val="left"/>
              <w:rPr/>
            </w:pPr>
            <w:r>
              <w:rPr/>
              <w:t>n/a</w:t>
            </w:r>
          </w:p>
        </w:tc>
        <w:tc>
          <w:tcPr>
            <w:tcW w:w="1578"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7" w:name="where-recall-comes-from"/>
      <w:bookmarkEnd w:id="17"/>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8" w:name="the-seeded-note-proof"/>
      <w:bookmarkEnd w:id="18"/>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9" w:name="measured-against-the-real-vault_opspy-re"/>
      <w:bookmarkEnd w:id="19"/>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20" w:name="reading-stats"/>
      <w:bookmarkEnd w:id="20"/>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