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767"/>
        <w:gridCol w:w="5542"/>
        <w:gridCol w:w="4030"/>
      </w:tblGrid>
      <w:tr>
        <w:trPr>
          <w:tblHeader w:val="true"/>
        </w:trPr>
        <w:tc>
          <w:tcPr>
            <w:tcW w:w="1767" w:type="dxa"/>
            <w:tcBorders/>
            <w:vAlign w:val="center"/>
          </w:tcPr>
          <w:p>
            <w:pPr>
              <w:pStyle w:val="TableHeading"/>
              <w:suppressLineNumbers/>
              <w:shd w:fill="434C5E" w:val="clear"/>
              <w:bidi w:val="0"/>
              <w:spacing w:before="120" w:after="120"/>
              <w:jc w:val="left"/>
              <w:rPr/>
            </w:pPr>
            <w:r>
              <w:rPr/>
              <w:t>Role</w:t>
            </w:r>
          </w:p>
        </w:tc>
        <w:tc>
          <w:tcPr>
            <w:tcW w:w="5542" w:type="dxa"/>
            <w:tcBorders/>
            <w:vAlign w:val="center"/>
          </w:tcPr>
          <w:p>
            <w:pPr>
              <w:pStyle w:val="TableHeading"/>
              <w:suppressLineNumbers/>
              <w:shd w:fill="434C5E" w:val="clear"/>
              <w:bidi w:val="0"/>
              <w:spacing w:before="120" w:after="120"/>
              <w:jc w:val="left"/>
              <w:rPr/>
            </w:pPr>
            <w:r>
              <w:rPr/>
              <w:t>What it does</w:t>
            </w:r>
          </w:p>
        </w:tc>
        <w:tc>
          <w:tcPr>
            <w:tcW w:w="4030" w:type="dxa"/>
            <w:tcBorders/>
            <w:vAlign w:val="center"/>
          </w:tcPr>
          <w:p>
            <w:pPr>
              <w:pStyle w:val="TableHeading"/>
              <w:suppressLineNumbers/>
              <w:shd w:fill="434C5E" w:val="clear"/>
              <w:bidi w:val="0"/>
              <w:spacing w:before="120" w:after="120"/>
              <w:jc w:val="left"/>
              <w:rPr/>
            </w:pPr>
            <w:r>
              <w:rPr/>
              <w:t>What it cannot do</w:t>
            </w:r>
          </w:p>
        </w:tc>
      </w:tr>
      <w:tr>
        <w:trPr/>
        <w:tc>
          <w:tcPr>
            <w:tcW w:w="1767" w:type="dxa"/>
            <w:tcBorders/>
            <w:vAlign w:val="center"/>
          </w:tcPr>
          <w:p>
            <w:pPr>
              <w:pStyle w:val="TableContents"/>
              <w:shd w:fill="2E3440" w:val="clear"/>
              <w:bidi w:val="0"/>
              <w:spacing w:before="120" w:after="120"/>
              <w:jc w:val="left"/>
              <w:rPr/>
            </w:pPr>
            <w:r>
              <w:rPr>
                <w:rStyle w:val="SourceText"/>
              </w:rPr>
              <w:t>session-relay</w:t>
            </w:r>
          </w:p>
        </w:tc>
        <w:tc>
          <w:tcPr>
            <w:tcW w:w="5542" w:type="dxa"/>
            <w:tcBorders/>
            <w:vAlign w:val="center"/>
          </w:tcPr>
          <w:p>
            <w:pPr>
              <w:pStyle w:val="TableContents"/>
              <w:shd w:fill="2E3440" w:val="clear"/>
              <w:bidi w:val="0"/>
              <w:spacing w:before="120" w:after="120"/>
              <w:jc w:val="left"/>
              <w:rPr/>
            </w:pPr>
            <w:r>
              <w:rPr/>
              <w:t>Carries messages between sessions on Haiku 5.5; transport only, not a role</w:t>
            </w:r>
          </w:p>
        </w:tc>
        <w:tc>
          <w:tcPr>
            <w:tcW w:w="4030" w:type="dxa"/>
            <w:tcBorders/>
            <w:vAlign w:val="center"/>
          </w:tcPr>
          <w:p>
            <w:pPr>
              <w:pStyle w:val="TableContents"/>
              <w:shd w:fill="2E3440" w:val="clear"/>
              <w:bidi w:val="0"/>
              <w:spacing w:before="120" w:after="120"/>
              <w:jc w:val="left"/>
              <w:rPr/>
            </w:pPr>
            <w:r>
              <w:rPr/>
              <w:t>No Write, Edit or Bash; SendMessage, ListAgents, Read</w:t>
            </w:r>
          </w:p>
        </w:tc>
      </w:tr>
      <w:tr>
        <w:trPr/>
        <w:tc>
          <w:tcPr>
            <w:tcW w:w="1767" w:type="dxa"/>
            <w:tcBorders/>
            <w:vAlign w:val="center"/>
          </w:tcPr>
          <w:p>
            <w:pPr>
              <w:pStyle w:val="TableContents"/>
              <w:shd w:fill="2E3440" w:val="clear"/>
              <w:bidi w:val="0"/>
              <w:spacing w:before="120" w:after="120"/>
              <w:jc w:val="left"/>
              <w:rPr/>
            </w:pPr>
            <w:r>
              <w:rPr>
                <w:rStyle w:val="SourceText"/>
              </w:rPr>
              <w:t>explorer</w:t>
            </w:r>
          </w:p>
        </w:tc>
        <w:tc>
          <w:tcPr>
            <w:tcW w:w="5542" w:type="dxa"/>
            <w:tcBorders/>
            <w:vAlign w:val="center"/>
          </w:tcPr>
          <w:p>
            <w:pPr>
              <w:pStyle w:val="TableContents"/>
              <w:shd w:fill="2E3440" w:val="clear"/>
              <w:bidi w:val="0"/>
              <w:spacing w:before="120" w:after="120"/>
              <w:jc w:val="left"/>
              <w:rPr/>
            </w:pPr>
            <w:r>
              <w:rPr/>
              <w:t>Maps the code a ticket touches</w:t>
            </w:r>
          </w:p>
        </w:tc>
        <w:tc>
          <w:tcPr>
            <w:tcW w:w="4030" w:type="dxa"/>
            <w:tcBorders/>
            <w:vAlign w:val="center"/>
          </w:tcPr>
          <w:p>
            <w:pPr>
              <w:pStyle w:val="TableContents"/>
              <w:shd w:fill="2E3440" w:val="clear"/>
              <w:bidi w:val="0"/>
              <w:spacing w:before="120" w:after="120"/>
              <w:jc w:val="left"/>
              <w:rPr/>
            </w:pPr>
            <w:r>
              <w:rPr/>
              <w:t>No Write or Edit; Bash only to hand its task to Kimi</w:t>
            </w:r>
          </w:p>
        </w:tc>
      </w:tr>
      <w:tr>
        <w:trPr/>
        <w:tc>
          <w:tcPr>
            <w:tcW w:w="1767" w:type="dxa"/>
            <w:tcBorders/>
            <w:vAlign w:val="center"/>
          </w:tcPr>
          <w:p>
            <w:pPr>
              <w:pStyle w:val="TableContents"/>
              <w:shd w:fill="2E3440" w:val="clear"/>
              <w:bidi w:val="0"/>
              <w:spacing w:before="120" w:after="120"/>
              <w:jc w:val="left"/>
              <w:rPr/>
            </w:pPr>
            <w:r>
              <w:rPr>
                <w:rStyle w:val="SourceText"/>
              </w:rPr>
              <w:t>reviewer</w:t>
            </w:r>
          </w:p>
        </w:tc>
        <w:tc>
          <w:tcPr>
            <w:tcW w:w="5542"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4030" w:type="dxa"/>
            <w:tcBorders/>
            <w:vAlign w:val="center"/>
          </w:tcPr>
          <w:p>
            <w:pPr>
              <w:pStyle w:val="TableContents"/>
              <w:shd w:fill="2E3440" w:val="clear"/>
              <w:bidi w:val="0"/>
              <w:spacing w:before="120" w:after="120"/>
              <w:jc w:val="left"/>
              <w:rPr/>
            </w:pPr>
            <w:r>
              <w:rPr/>
              <w:t>Writes nothing to the tree</w:t>
            </w:r>
          </w:p>
        </w:tc>
      </w:tr>
      <w:tr>
        <w:trPr/>
        <w:tc>
          <w:tcPr>
            <w:tcW w:w="1767" w:type="dxa"/>
            <w:tcBorders/>
            <w:vAlign w:val="center"/>
          </w:tcPr>
          <w:p>
            <w:pPr>
              <w:pStyle w:val="TableContents"/>
              <w:shd w:fill="2E3440" w:val="clear"/>
              <w:bidi w:val="0"/>
              <w:spacing w:before="120" w:after="120"/>
              <w:jc w:val="left"/>
              <w:rPr/>
            </w:pPr>
            <w:r>
              <w:rPr>
                <w:rStyle w:val="SourceText"/>
              </w:rPr>
              <w:t>security</w:t>
            </w:r>
          </w:p>
        </w:tc>
        <w:tc>
          <w:tcPr>
            <w:tcW w:w="5542" w:type="dxa"/>
            <w:tcBorders/>
            <w:vAlign w:val="center"/>
          </w:tcPr>
          <w:p>
            <w:pPr>
              <w:pStyle w:val="TableContents"/>
              <w:shd w:fill="2E3440" w:val="clear"/>
              <w:bidi w:val="0"/>
              <w:spacing w:before="120" w:after="120"/>
              <w:jc w:val="left"/>
              <w:rPr/>
            </w:pPr>
            <w:r>
              <w:rPr/>
              <w:t>Read-only review of risky changes</w:t>
            </w:r>
          </w:p>
        </w:tc>
        <w:tc>
          <w:tcPr>
            <w:tcW w:w="4030" w:type="dxa"/>
            <w:tcBorders/>
            <w:vAlign w:val="center"/>
          </w:tcPr>
          <w:p>
            <w:pPr>
              <w:pStyle w:val="TableContents"/>
              <w:shd w:fill="2E3440" w:val="clear"/>
              <w:bidi w:val="0"/>
              <w:spacing w:before="120" w:after="120"/>
              <w:jc w:val="left"/>
              <w:rPr/>
            </w:pPr>
            <w:r>
              <w:rPr/>
              <w:t>No Write or Edit</w:t>
            </w:r>
          </w:p>
        </w:tc>
      </w:tr>
      <w:tr>
        <w:trPr/>
        <w:tc>
          <w:tcPr>
            <w:tcW w:w="1767" w:type="dxa"/>
            <w:tcBorders/>
            <w:vAlign w:val="center"/>
          </w:tcPr>
          <w:p>
            <w:pPr>
              <w:pStyle w:val="TableContents"/>
              <w:shd w:fill="2E3440" w:val="clear"/>
              <w:bidi w:val="0"/>
              <w:spacing w:before="120" w:after="120"/>
              <w:jc w:val="left"/>
              <w:rPr/>
            </w:pPr>
            <w:r>
              <w:rPr>
                <w:rStyle w:val="SourceText"/>
              </w:rPr>
              <w:t>researcher</w:t>
            </w:r>
          </w:p>
        </w:tc>
        <w:tc>
          <w:tcPr>
            <w:tcW w:w="5542" w:type="dxa"/>
            <w:tcBorders/>
            <w:vAlign w:val="center"/>
          </w:tcPr>
          <w:p>
            <w:pPr>
              <w:pStyle w:val="TableContents"/>
              <w:shd w:fill="2E3440" w:val="clear"/>
              <w:bidi w:val="0"/>
              <w:spacing w:before="120" w:after="120"/>
              <w:jc w:val="left"/>
              <w:rPr/>
            </w:pPr>
            <w:r>
              <w:rPr/>
              <w:t>Reads external sources only</w:t>
            </w:r>
          </w:p>
        </w:tc>
        <w:tc>
          <w:tcPr>
            <w:tcW w:w="4030"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