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Each round's findings go into a </w:t>
      </w:r>
      <w:r>
        <w:rPr>
          <w:rStyle w:val="SourceText"/>
        </w:rPr>
        <w:t>standards-proposals-r&lt;N&gt;.md</w:t>
      </w:r>
      <w:r>
        <w:rPr/>
        <w:t xml:space="preserve"> file, one row per finding;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Before the review round, </w:t>
      </w:r>
      <w:r>
        <w:rPr>
          <w:rStyle w:val="SourceText"/>
        </w:rPr>
        <w:t>crew_train.py acquire --ticket T-0091</w:t>
      </w:r>
      <w:r>
        <w:rPr/>
        <w:t xml:space="preserve"> takes the train: a ticket whose Touch overlaps one already holding it waits (exit 1, colliding paths named)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A replay is left unstaged and listed: inspect it, </w:t>
      </w:r>
      <w:r>
        <w:rPr>
          <w:rStyle w:val="SourceText"/>
        </w:rPr>
        <w:t>git add</w:t>
      </w:r>
      <w:r>
        <w:rPr/>
        <w:t xml:space="preserve"> it, and show it to the reviewer. crew never turns on </w:t>
      </w:r>
      <w:r>
        <w:rPr>
          <w:rStyle w:val="SourceText"/>
        </w:rPr>
        <w:t>rerere.autoupdate</w:t>
      </w:r>
      <w:r>
        <w:rPr/>
        <w:t>, and the version files (</w:t>
      </w:r>
      <w:r>
        <w:rPr>
          <w:rStyle w:val="SourceText"/>
        </w:rPr>
        <w:t>plugin.json</w:t>
      </w:r>
      <w:r>
        <w:rPr/>
        <w:t xml:space="preserve">, </w:t>
      </w:r>
      <w:r>
        <w:rPr>
          <w:rStyle w:val="SourceText"/>
        </w:rPr>
        <w:t>marketplace.json</w:t>
      </w:r>
      <w:r>
        <w:rPr/>
        <w:t xml:space="preserve">, </w:t>
      </w:r>
      <w:r>
        <w:rPr>
          <w:rStyle w:val="SourceText"/>
        </w:rPr>
        <w:t>PLUGINS.md</w:t>
      </w:r>
      <w:r>
        <w:rPr/>
        <w:t xml:space="preserve">, </w:t>
      </w:r>
      <w:r>
        <w:rPr>
          <w:rStyle w:val="SourceText"/>
        </w:rPr>
        <w:t>CHANGELOG.md</w:t>
      </w:r>
      <w:r>
        <w:rPr/>
        <w:t>) are never replayed - they come back conflicted, named as forgotten, for you to resolve by hand.</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finds nothing outside scope. Any one failing refuses the close and names what to fix. On success it appends a metrics row, marks the ticket done, and clears a stale handoff.</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(crew never merges).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28" w:type="dxa"/>
        <w:tblLayout w:type="fixed"/>
        <w:tblCellMar>
          <w:top w:w="28" w:type="dxa"/>
          <w:left w:w="28" w:type="dxa"/>
          <w:bottom w:w="28" w:type="dxa"/>
          <w:right w:w="28" w:type="dxa"/>
        </w:tblCellMar>
      </w:tblPr>
      <w:tblGrid>
        <w:gridCol w:w="1429"/>
        <w:gridCol w:w="3770"/>
        <w:gridCol w:w="6140"/>
      </w:tblGrid>
      <w:tr>
        <w:trPr>
          <w:tblHeader w:val="true"/>
        </w:trPr>
        <w:tc>
          <w:tcPr>
            <w:tcW w:w="1429" w:type="dxa"/>
            <w:tcBorders/>
            <w:vAlign w:val="center"/>
          </w:tcPr>
          <w:p>
            <w:pPr>
              <w:pStyle w:val="TableHeading"/>
              <w:suppressLineNumbers/>
              <w:shd w:fill="434C5E" w:val="clear"/>
              <w:bidi w:val="0"/>
              <w:spacing w:before="120" w:after="120"/>
              <w:jc w:val="left"/>
              <w:rPr/>
            </w:pPr>
            <w:r>
              <w:rPr/>
              <w:t>When</w:t>
            </w:r>
          </w:p>
        </w:tc>
        <w:tc>
          <w:tcPr>
            <w:tcW w:w="3770" w:type="dxa"/>
            <w:tcBorders/>
            <w:vAlign w:val="center"/>
          </w:tcPr>
          <w:p>
            <w:pPr>
              <w:pStyle w:val="TableHeading"/>
              <w:suppressLineNumbers/>
              <w:shd w:fill="434C5E" w:val="clear"/>
              <w:bidi w:val="0"/>
              <w:spacing w:before="120" w:after="120"/>
              <w:jc w:val="left"/>
              <w:rPr/>
            </w:pPr>
            <w:r>
              <w:rPr/>
              <w:t>Hook</w:t>
            </w:r>
          </w:p>
        </w:tc>
        <w:tc>
          <w:tcPr>
            <w:tcW w:w="6140" w:type="dxa"/>
            <w:tcBorders/>
            <w:vAlign w:val="center"/>
          </w:tcPr>
          <w:p>
            <w:pPr>
              <w:pStyle w:val="TableHeading"/>
              <w:suppressLineNumbers/>
              <w:shd w:fill="434C5E" w:val="clear"/>
              <w:bidi w:val="0"/>
              <w:spacing w:before="120" w:after="120"/>
              <w:jc w:val="left"/>
              <w:rPr/>
            </w:pPr>
            <w:r>
              <w:rPr/>
              <w:t>Does</w:t>
            </w:r>
          </w:p>
        </w:tc>
      </w:tr>
      <w:tr>
        <w:trPr/>
        <w:tc>
          <w:tcPr>
            <w:tcW w:w="1429" w:type="dxa"/>
            <w:tcBorders/>
            <w:vAlign w:val="center"/>
          </w:tcPr>
          <w:p>
            <w:pPr>
              <w:pStyle w:val="TableContents"/>
              <w:shd w:fill="2E3440" w:val="clear"/>
              <w:bidi w:val="0"/>
              <w:spacing w:before="120" w:after="120"/>
              <w:jc w:val="left"/>
              <w:rPr/>
            </w:pPr>
            <w:r>
              <w:rPr/>
              <w:t>Every write</w:t>
            </w:r>
          </w:p>
        </w:tc>
        <w:tc>
          <w:tcPr>
            <w:tcW w:w="3770"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140"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refuses to end the turn on a red check</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29" w:type="dxa"/>
            <w:tcBorders/>
            <w:vAlign w:val="center"/>
          </w:tcPr>
          <w:p>
            <w:pPr>
              <w:pStyle w:val="TableContents"/>
              <w:shd w:fill="2E3440" w:val="clear"/>
              <w:bidi w:val="0"/>
              <w:spacing w:before="120" w:after="120"/>
              <w:jc w:val="left"/>
              <w:rPr/>
            </w:pPr>
            <w:r>
              <w:rPr/>
              <w:t>Session start</w:t>
            </w:r>
          </w:p>
        </w:tc>
        <w:tc>
          <w:tcPr>
            <w:tcW w:w="3770" w:type="dxa"/>
            <w:tcBorders/>
            <w:vAlign w:val="center"/>
          </w:tcPr>
          <w:p>
            <w:pPr>
              <w:pStyle w:val="TableContents"/>
              <w:shd w:fill="2E3440" w:val="clear"/>
              <w:bidi w:val="0"/>
              <w:spacing w:before="120" w:after="120"/>
              <w:jc w:val="left"/>
              <w:rPr/>
            </w:pPr>
            <w:r>
              <w:rPr/>
              <w:t>context</w:t>
            </w:r>
          </w:p>
        </w:tc>
        <w:tc>
          <w:tcPr>
            <w:tcW w:w="6140"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if-something-refuses"/>
      <w:bookmarkEnd w:id="5"/>
      <w:r>
        <w:rPr/>
        <w:t>If Something Refuses</w:t>
      </w:r>
    </w:p>
    <w:tbl>
      <w:tblPr>
        <w:tblW w:w="11339" w:type="dxa"/>
        <w:jc w:val="left"/>
        <w:tblInd w:w="28" w:type="dxa"/>
        <w:tblLayout w:type="fixed"/>
        <w:tblCellMar>
          <w:top w:w="28" w:type="dxa"/>
          <w:left w:w="28" w:type="dxa"/>
          <w:bottom w:w="28" w:type="dxa"/>
          <w:right w:w="28" w:type="dxa"/>
        </w:tblCellMar>
      </w:tblPr>
      <w:tblGrid>
        <w:gridCol w:w="2608"/>
        <w:gridCol w:w="3171"/>
        <w:gridCol w:w="5560"/>
      </w:tblGrid>
      <w:tr>
        <w:trPr>
          <w:tblHeader w:val="true"/>
        </w:trPr>
        <w:tc>
          <w:tcPr>
            <w:tcW w:w="2608" w:type="dxa"/>
            <w:tcBorders/>
            <w:vAlign w:val="center"/>
          </w:tcPr>
          <w:p>
            <w:pPr>
              <w:pStyle w:val="TableHeading"/>
              <w:suppressLineNumbers/>
              <w:shd w:fill="434C5E" w:val="clear"/>
              <w:bidi w:val="0"/>
              <w:spacing w:before="120" w:after="120"/>
              <w:jc w:val="left"/>
              <w:rPr/>
            </w:pPr>
            <w:r>
              <w:rPr/>
              <w:t>Refusal</w:t>
            </w:r>
          </w:p>
        </w:tc>
        <w:tc>
          <w:tcPr>
            <w:tcW w:w="3171" w:type="dxa"/>
            <w:tcBorders/>
            <w:vAlign w:val="center"/>
          </w:tcPr>
          <w:p>
            <w:pPr>
              <w:pStyle w:val="TableHeading"/>
              <w:suppressLineNumbers/>
              <w:shd w:fill="434C5E" w:val="clear"/>
              <w:bidi w:val="0"/>
              <w:spacing w:before="120" w:after="120"/>
              <w:jc w:val="left"/>
              <w:rPr/>
            </w:pPr>
            <w:r>
              <w:rPr/>
              <w:t>Means</w:t>
            </w:r>
          </w:p>
        </w:tc>
        <w:tc>
          <w:tcPr>
            <w:tcW w:w="5560" w:type="dxa"/>
            <w:tcBorders/>
            <w:vAlign w:val="center"/>
          </w:tcPr>
          <w:p>
            <w:pPr>
              <w:pStyle w:val="TableHeading"/>
              <w:suppressLineNumbers/>
              <w:shd w:fill="434C5E" w:val="clear"/>
              <w:bidi w:val="0"/>
              <w:spacing w:before="120" w:after="120"/>
              <w:jc w:val="left"/>
              <w:rPr/>
            </w:pPr>
            <w:r>
              <w:rPr/>
              <w:t>Do</w:t>
            </w:r>
          </w:p>
        </w:tc>
      </w:tr>
      <w:tr>
        <w:trPr/>
        <w:tc>
          <w:tcPr>
            <w:tcW w:w="2608"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3171"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5560"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2608" w:type="dxa"/>
            <w:tcBorders/>
            <w:vAlign w:val="center"/>
          </w:tcPr>
          <w:p>
            <w:pPr>
              <w:pStyle w:val="TableContents"/>
              <w:shd w:fill="2E3440" w:val="clear"/>
              <w:bidi w:val="0"/>
              <w:spacing w:before="120" w:after="120"/>
              <w:jc w:val="left"/>
              <w:rPr/>
            </w:pPr>
            <w:r>
              <w:rPr/>
              <w:t>a write is blocked outside Touch</w:t>
            </w:r>
          </w:p>
        </w:tc>
        <w:tc>
          <w:tcPr>
            <w:tcW w:w="3171" w:type="dxa"/>
            <w:tcBorders/>
            <w:vAlign w:val="center"/>
          </w:tcPr>
          <w:p>
            <w:pPr>
              <w:pStyle w:val="TableContents"/>
              <w:shd w:fill="2E3440" w:val="clear"/>
              <w:bidi w:val="0"/>
              <w:spacing w:before="120" w:after="120"/>
              <w:jc w:val="left"/>
              <w:rPr/>
            </w:pPr>
            <w:r>
              <w:rPr/>
              <w:t>the file isn't in the spec's declared scope</w:t>
            </w:r>
          </w:p>
        </w:tc>
        <w:tc>
          <w:tcPr>
            <w:tcW w:w="5560"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2608"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3171"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5560"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2608"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3171" w:type="dxa"/>
            <w:tcBorders/>
            <w:vAlign w:val="center"/>
          </w:tcPr>
          <w:p>
            <w:pPr>
              <w:pStyle w:val="TableContents"/>
              <w:shd w:fill="2E3440" w:val="clear"/>
              <w:bidi w:val="0"/>
              <w:spacing w:before="120" w:after="120"/>
              <w:jc w:val="left"/>
              <w:rPr/>
            </w:pPr>
            <w:r>
              <w:rPr/>
              <w:t>the review budget (two rounds) is spent</w:t>
            </w:r>
          </w:p>
        </w:tc>
        <w:tc>
          <w:tcPr>
            <w:tcW w:w="5560"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2608"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3171" w:type="dxa"/>
            <w:tcBorders/>
            <w:vAlign w:val="center"/>
          </w:tcPr>
          <w:p>
            <w:pPr>
              <w:pStyle w:val="TableContents"/>
              <w:shd w:fill="2E3440" w:val="clear"/>
              <w:bidi w:val="0"/>
              <w:spacing w:before="120" w:after="120"/>
              <w:jc w:val="left"/>
              <w:rPr/>
            </w:pPr>
            <w:r>
              <w:rPr/>
              <w:t>a path outside scope changed, including one a shell command wrote</w:t>
            </w:r>
          </w:p>
        </w:tc>
        <w:tc>
          <w:tcPr>
            <w:tcW w:w="5560"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6" w:name="scope-and-approval"/>
      <w:bookmarkEnd w:id="6"/>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7" w:name="the-contract"/>
      <w:bookmarkEnd w:id="7"/>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8" w:name="approval"/>
      <w:bookmarkEnd w:id="8"/>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9" w:name="while-you-implement-the-scope-guard"/>
      <w:bookmarkEnd w:id="9"/>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0" w:name="at-the-end-of-a-turn-the-completion-audi"/>
      <w:bookmarkEnd w:id="10"/>
      <w:r>
        <w:rPr/>
        <w:t>At the End of a Turn: The Completion Audit</w:t>
      </w:r>
    </w:p>
    <w:p>
      <w:pPr>
        <w:pStyle w:val="BodyText"/>
        <w:bidi w:val="0"/>
        <w:jc w:val="left"/>
        <w:rPr/>
      </w:pPr>
      <w:r>
        <w:rPr/>
        <w:t xml:space="preserve">The guard only sees the editing tools. A </w:t>
      </w:r>
      <w:r>
        <w:rPr>
          <w:rStyle w:val="SourceText"/>
        </w:rPr>
        <w:t>sed -i</w:t>
      </w:r>
      <w:r>
        <w:rPr/>
        <w:t>, a shell redirect or a formatter can still change files. So when the session stops, the completion audit compares the whole tree with the commit the ticket started from. It covers committed, staged, unstaged and untracked changes, and both ends of a rename. If any changed path is outside Touch, the audit blocks the stop and lists the paths in six lines or fewer. It never blocks the continuation it caused.</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or a file whose git mode changed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1" w:name="amending-scope"/>
      <w:bookmarkEnd w:id="11"/>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2" w:name="after-two-review-rounds-a-successor-plan"/>
      <w:bookmarkEnd w:id="12"/>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3" w:name="modes"/>
      <w:bookmarkEnd w:id="13"/>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28" w:type="dxa"/>
        <w:tblLayout w:type="fixed"/>
        <w:tblCellMar>
          <w:top w:w="28" w:type="dxa"/>
          <w:left w:w="28" w:type="dxa"/>
          <w:bottom w:w="28" w:type="dxa"/>
          <w:right w:w="28" w:type="dxa"/>
        </w:tblCellMar>
      </w:tblPr>
      <w:tblGrid>
        <w:gridCol w:w="945"/>
        <w:gridCol w:w="10394"/>
      </w:tblGrid>
      <w:tr>
        <w:trPr>
          <w:tblHeader w:val="true"/>
        </w:trPr>
        <w:tc>
          <w:tcPr>
            <w:tcW w:w="945" w:type="dxa"/>
            <w:tcBorders/>
            <w:vAlign w:val="center"/>
          </w:tcPr>
          <w:p>
            <w:pPr>
              <w:pStyle w:val="TableHeading"/>
              <w:suppressLineNumbers/>
              <w:shd w:fill="434C5E" w:val="clear"/>
              <w:bidi w:val="0"/>
              <w:spacing w:before="120" w:after="120"/>
              <w:jc w:val="left"/>
              <w:rPr/>
            </w:pPr>
            <w:r>
              <w:rPr/>
              <w:t>Value</w:t>
            </w:r>
          </w:p>
        </w:tc>
        <w:tc>
          <w:tcPr>
            <w:tcW w:w="10394" w:type="dxa"/>
            <w:tcBorders/>
            <w:vAlign w:val="center"/>
          </w:tcPr>
          <w:p>
            <w:pPr>
              <w:pStyle w:val="TableHeading"/>
              <w:suppressLineNumbers/>
              <w:shd w:fill="434C5E" w:val="clear"/>
              <w:bidi w:val="0"/>
              <w:spacing w:before="120" w:after="120"/>
              <w:jc w:val="left"/>
              <w:rPr/>
            </w:pPr>
            <w:r>
              <w:rPr/>
              <w:t>What happens</w:t>
            </w:r>
          </w:p>
        </w:tc>
      </w:tr>
      <w:tr>
        <w:trPr/>
        <w:tc>
          <w:tcPr>
            <w:tcW w:w="945" w:type="dxa"/>
            <w:tcBorders/>
            <w:vAlign w:val="center"/>
          </w:tcPr>
          <w:p>
            <w:pPr>
              <w:pStyle w:val="TableContents"/>
              <w:shd w:fill="2E3440" w:val="clear"/>
              <w:bidi w:val="0"/>
              <w:spacing w:before="120" w:after="120"/>
              <w:jc w:val="left"/>
              <w:rPr/>
            </w:pPr>
            <w:r>
              <w:rPr>
                <w:rStyle w:val="SourceText"/>
              </w:rPr>
              <w:t>off</w:t>
            </w:r>
          </w:p>
        </w:tc>
        <w:tc>
          <w:tcPr>
            <w:tcW w:w="10394" w:type="dxa"/>
            <w:tcBorders/>
            <w:vAlign w:val="center"/>
          </w:tcPr>
          <w:p>
            <w:pPr>
              <w:pStyle w:val="TableContents"/>
              <w:shd w:fill="2E3440" w:val="clear"/>
              <w:bidi w:val="0"/>
              <w:spacing w:before="120" w:after="120"/>
              <w:jc w:val="left"/>
              <w:rPr/>
            </w:pPr>
            <w:r>
              <w:rPr/>
              <w:t>Default. Neither hook does anything.</w:t>
            </w:r>
          </w:p>
        </w:tc>
      </w:tr>
      <w:tr>
        <w:trPr/>
        <w:tc>
          <w:tcPr>
            <w:tcW w:w="945" w:type="dxa"/>
            <w:tcBorders/>
            <w:vAlign w:val="center"/>
          </w:tcPr>
          <w:p>
            <w:pPr>
              <w:pStyle w:val="TableContents"/>
              <w:shd w:fill="2E3440" w:val="clear"/>
              <w:bidi w:val="0"/>
              <w:spacing w:before="120" w:after="120"/>
              <w:jc w:val="left"/>
              <w:rPr/>
            </w:pPr>
            <w:r>
              <w:rPr>
                <w:rStyle w:val="SourceText"/>
              </w:rPr>
              <w:t>report</w:t>
            </w:r>
          </w:p>
        </w:tc>
        <w:tc>
          <w:tcPr>
            <w:tcW w:w="10394"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5" w:type="dxa"/>
            <w:tcBorders/>
            <w:vAlign w:val="center"/>
          </w:tcPr>
          <w:p>
            <w:pPr>
              <w:pStyle w:val="TableContents"/>
              <w:shd w:fill="2E3440" w:val="clear"/>
              <w:bidi w:val="0"/>
              <w:spacing w:before="120" w:after="120"/>
              <w:jc w:val="left"/>
              <w:rPr/>
            </w:pPr>
            <w:r>
              <w:rPr>
                <w:rStyle w:val="SourceText"/>
              </w:rPr>
              <w:t>block</w:t>
            </w:r>
          </w:p>
        </w:tc>
        <w:tc>
          <w:tcPr>
            <w:tcW w:w="10394" w:type="dxa"/>
            <w:tcBorders/>
            <w:vAlign w:val="center"/>
          </w:tcPr>
          <w:p>
            <w:pPr>
              <w:pStyle w:val="TableContents"/>
              <w:shd w:fill="2E3440" w:val="clear"/>
              <w:bidi w:val="0"/>
              <w:spacing w:before="120" w:after="120"/>
              <w:jc w:val="left"/>
              <w:rPr/>
            </w:pPr>
            <w:r>
              <w:rPr/>
              <w:t>Refusals block.</w:t>
            </w:r>
          </w:p>
        </w:tc>
      </w:tr>
      <w:tr>
        <w:trPr/>
        <w:tc>
          <w:tcPr>
            <w:tcW w:w="945" w:type="dxa"/>
            <w:tcBorders/>
            <w:vAlign w:val="center"/>
          </w:tcPr>
          <w:p>
            <w:pPr>
              <w:pStyle w:val="TableContents"/>
              <w:shd w:fill="2E3440" w:val="clear"/>
              <w:bidi w:val="0"/>
              <w:spacing w:before="120" w:after="120"/>
              <w:jc w:val="left"/>
              <w:rPr/>
            </w:pPr>
            <w:r>
              <w:rPr>
                <w:rStyle w:val="SourceText"/>
              </w:rPr>
              <w:t>auto</w:t>
            </w:r>
          </w:p>
        </w:tc>
        <w:tc>
          <w:tcPr>
            <w:tcW w:w="10394"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4" w:name="which-ticket-is-active"/>
      <w:bookmarkEnd w:id="14"/>
      <w:r>
        <w:rPr/>
        <w:t>Which Ticket Is Active</w:t>
      </w:r>
    </w:p>
    <w:p>
      <w:pPr>
        <w:pStyle w:val="BodyText"/>
        <w:bidi w:val="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p>
      <w:pPr>
        <w:pStyle w:val="BodyText"/>
        <w:bidi w:val="0"/>
        <w:spacing w:before="120" w:after="120"/>
        <w:jc w:val="left"/>
        <w:rPr/>
      </w:pPr>
      <w:r>
        <w:rPr/>
        <w:t xml:space="preserve">Who moves it depends on whether the move can widen scope. </w:t>
      </w:r>
      <w:r>
        <w:rPr>
          <w:rStyle w:val="SourceText"/>
        </w:rPr>
        <w:t>/crew:autopilot</w:t>
      </w:r>
      <w:r>
        <w:rPr/>
        <w:t xml:space="preserve"> sets it itself when the worktree has no active ticket, when it already names the ticket, or when it names a ticket closed by an accepted review (a </w:t>
      </w:r>
      <w:r>
        <w:rPr>
          <w:rStyle w:val="SourceText"/>
        </w:rPr>
        <w:t>clean</w:t>
      </w:r>
      <w:r>
        <w:rPr/>
        <w:t xml:space="preserve"> or </w:t>
      </w:r>
      <w:r>
        <w:rPr>
          <w:rStyle w:val="SourceText"/>
        </w:rPr>
        <w:t>owner-accepted</w:t>
      </w:r>
      <w:r>
        <w:rPr/>
        <w:t xml:space="preserve"> receipt in the review ledger, plus </w:t>
      </w:r>
      <w:r>
        <w:rPr>
          <w:rStyle w:val="SourceText"/>
        </w:rPr>
        <w:t>done</w:t>
      </w:r>
      <w:r>
        <w:rPr/>
        <w:t xml:space="preserve"> in </w:t>
      </w:r>
      <w:r>
        <w:rPr>
          <w:rStyle w:val="SourceText"/>
        </w:rPr>
        <w:t>.work/INDEX.md</w:t>
      </w:r>
      <w:r>
        <w:rPr/>
        <w:t xml:space="preserve"> or the spec header). Moving off a ticket that is still in flight is yours: type </w:t>
      </w:r>
      <w:r>
        <w:rPr>
          <w:rStyle w:val="SourceText"/>
        </w:rPr>
        <w:t>/crew:autopilot &lt;id&gt;</w:t>
      </w:r>
      <w:r>
        <w:rPr/>
        <w:t xml:space="preserve">, and crew's prompt hook re-points this worktree and says which ticket it left. The edit guard refuses the session's own </w:t>
      </w:r>
      <w:r>
        <w:rPr>
          <w:rStyle w:val="SourceText"/>
        </w:rPr>
        <w:t>activate</w:t>
      </w:r>
      <w:r>
        <w:rPr/>
        <w:t xml:space="preserve"> or </w:t>
      </w:r>
      <w:r>
        <w:rPr>
          <w:rStyle w:val="SourceText"/>
        </w:rPr>
        <w:t>deactivate</w:t>
      </w:r>
      <w:r>
        <w:rPr/>
        <w:t xml:space="preserve"> for that move under every mode but </w:t>
      </w:r>
      <w:r>
        <w:rPr>
          <w:rStyle w:val="SourceText"/>
        </w:rPr>
        <w:t>off</w:t>
      </w:r>
      <w:r>
        <w:rPr/>
        <w:t>, and autopilot's stops recommend finishing the in-flight ticket rather than telling you to run a script.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