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(for a merge on main, the PR head's receipt when its tree is exactly the merge's):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xml:space="preserve">.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 The metrics row (schema 1.1) carries tokens split by kind, each assistant message counted once, and a list-price cost. They are an attributed lower bound: only the Claude Code transcripts tied to the ticket by a </w:t>
      </w:r>
      <w:r>
        <w:rPr>
          <w:rStyle w:val="SourceText"/>
        </w:rPr>
        <w:t>Ticket ID: &lt;id&gt;</w:t>
      </w:r>
      <w:r>
        <w:rPr/>
        <w:t xml:space="preserve"> line, a </w:t>
      </w:r>
      <w:r>
        <w:rPr>
          <w:rStyle w:val="SourceText"/>
        </w:rPr>
        <w:t>/crew:&lt;command&gt; &lt;id&gt;</w:t>
      </w:r>
      <w:r>
        <w:rPr/>
        <w:t xml:space="preserve"> or its own worktree count (a dispatch prompt's </w:t>
      </w:r>
      <w:r>
        <w:rPr>
          <w:rStyle w:val="SourceText"/>
        </w:rPr>
        <w:t>Ticket ID:</w:t>
      </w:r>
      <w:r>
        <w:rPr/>
        <w:t xml:space="preserve"> line ties a subagent), and when none can be tied both read </w:t>
      </w:r>
      <w:r>
        <w:rPr>
          <w:rStyle w:val="SourceText"/>
        </w:rPr>
        <w:t>UNKNOWN</w:t>
      </w:r>
      <w:r>
        <w:rPr/>
        <w:t xml:space="preserve">, never </w:t>
      </w:r>
      <w:r>
        <w:rPr>
          <w:rStyle w:val="SourceText"/>
        </w:rPr>
        <w:t>0</w:t>
      </w:r>
      <w:r>
        <w:rPr/>
        <w:t>.</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144"/>
        <w:gridCol w:w="2248"/>
        <w:gridCol w:w="7947"/>
      </w:tblGrid>
      <w:tr>
        <w:trPr>
          <w:tblHeader w:val="true"/>
        </w:trPr>
        <w:tc>
          <w:tcPr>
            <w:tcW w:w="1144" w:type="dxa"/>
            <w:tcBorders/>
            <w:vAlign w:val="center"/>
          </w:tcPr>
          <w:p>
            <w:pPr>
              <w:pStyle w:val="TableHeading"/>
              <w:suppressLineNumbers/>
              <w:shd w:fill="434C5E" w:val="clear"/>
              <w:bidi w:val="0"/>
              <w:spacing w:before="120" w:after="120"/>
              <w:jc w:val="left"/>
              <w:rPr/>
            </w:pPr>
            <w:r>
              <w:rPr/>
              <w:t>When</w:t>
            </w:r>
          </w:p>
        </w:tc>
        <w:tc>
          <w:tcPr>
            <w:tcW w:w="2248" w:type="dxa"/>
            <w:tcBorders/>
            <w:vAlign w:val="center"/>
          </w:tcPr>
          <w:p>
            <w:pPr>
              <w:pStyle w:val="TableHeading"/>
              <w:suppressLineNumbers/>
              <w:shd w:fill="434C5E" w:val="clear"/>
              <w:bidi w:val="0"/>
              <w:spacing w:before="120" w:after="120"/>
              <w:jc w:val="left"/>
              <w:rPr/>
            </w:pPr>
            <w:r>
              <w:rPr/>
              <w:t>Hook</w:t>
            </w:r>
          </w:p>
        </w:tc>
        <w:tc>
          <w:tcPr>
            <w:tcW w:w="7947" w:type="dxa"/>
            <w:tcBorders/>
            <w:vAlign w:val="center"/>
          </w:tcPr>
          <w:p>
            <w:pPr>
              <w:pStyle w:val="TableHeading"/>
              <w:suppressLineNumbers/>
              <w:shd w:fill="434C5E" w:val="clear"/>
              <w:bidi w:val="0"/>
              <w:spacing w:before="120" w:after="120"/>
              <w:jc w:val="left"/>
              <w:rPr/>
            </w:pPr>
            <w:r>
              <w:rPr/>
              <w:t>Does</w:t>
            </w:r>
          </w:p>
        </w:tc>
      </w:tr>
      <w:tr>
        <w:trPr/>
        <w:tc>
          <w:tcPr>
            <w:tcW w:w="1144" w:type="dxa"/>
            <w:tcBorders/>
            <w:vAlign w:val="center"/>
          </w:tcPr>
          <w:p>
            <w:pPr>
              <w:pStyle w:val="TableContents"/>
              <w:shd w:fill="2E3440" w:val="clear"/>
              <w:bidi w:val="0"/>
              <w:spacing w:before="120" w:after="120"/>
              <w:jc w:val="left"/>
              <w:rPr/>
            </w:pPr>
            <w:r>
              <w:rPr/>
              <w:t>Every write</w:t>
            </w:r>
          </w:p>
        </w:tc>
        <w:tc>
          <w:tcPr>
            <w:tcW w:w="2248"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7947"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 xml:space="preserve">runs the rules for what changed that fit </w:t>
            </w:r>
            <w:r>
              <w:rPr>
                <w:rStyle w:val="SourceText"/>
              </w:rPr>
              <w:t>verify.stopBudgetSeconds</w:t>
            </w:r>
            <w:r>
              <w:rPr/>
              <w:t xml:space="preserve">; refuses to end the turn on a red check, never on a deferral (a rule too big for the budget goes to CI); prints one verdict line and the failures, the rest is in </w:t>
            </w:r>
            <w:r>
              <w:rPr>
                <w:rStyle w:val="SourceText"/>
              </w:rPr>
              <w:t>.crew/.verify-gate.log</w:t>
            </w:r>
            <w:r>
              <w:rPr/>
              <w:t xml:space="preserve"> (</w:t>
            </w:r>
            <w:r>
              <w:rPr>
                <w:rStyle w:val="SourceText"/>
              </w:rPr>
              <w:t>--verbose</w:t>
            </w:r>
            <w:r>
              <w:rPr/>
              <w:t xml:space="preserve"> shows it)</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144" w:type="dxa"/>
            <w:tcBorders/>
            <w:vAlign w:val="center"/>
          </w:tcPr>
          <w:p>
            <w:pPr>
              <w:pStyle w:val="TableContents"/>
              <w:shd w:fill="2E3440" w:val="clear"/>
              <w:bidi w:val="0"/>
              <w:spacing w:before="120" w:after="120"/>
              <w:jc w:val="left"/>
              <w:rPr/>
            </w:pPr>
            <w:r>
              <w:rPr/>
              <w:t>Session start</w:t>
            </w:r>
          </w:p>
        </w:tc>
        <w:tc>
          <w:tcPr>
            <w:tcW w:w="2248" w:type="dxa"/>
            <w:tcBorders/>
            <w:vAlign w:val="center"/>
          </w:tcPr>
          <w:p>
            <w:pPr>
              <w:pStyle w:val="TableContents"/>
              <w:shd w:fill="2E3440" w:val="clear"/>
              <w:bidi w:val="0"/>
              <w:spacing w:before="120" w:after="120"/>
              <w:jc w:val="left"/>
              <w:rPr/>
            </w:pPr>
            <w:r>
              <w:rPr/>
              <w:t>context</w:t>
            </w:r>
          </w:p>
        </w:tc>
        <w:tc>
          <w:tcPr>
            <w:tcW w:w="7947"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