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3107"/>
        <w:gridCol w:w="8232"/>
      </w:tblGrid>
      <w:tr>
        <w:trPr>
          <w:tblHeader w:val="true"/>
        </w:trPr>
        <w:tc>
          <w:tcPr>
            <w:tcW w:w="3107" w:type="dxa"/>
            <w:tcBorders/>
            <w:vAlign w:val="center"/>
          </w:tcPr>
          <w:p>
            <w:pPr>
              <w:pStyle w:val="TableHeading"/>
              <w:suppressLineNumbers/>
              <w:shd w:fill="434C5E" w:val="clear"/>
              <w:bidi w:val="0"/>
              <w:spacing w:before="120" w:after="120"/>
              <w:jc w:val="left"/>
              <w:rPr/>
            </w:pPr>
            <w:r>
              <w:rPr/>
              <w:t>When</w:t>
            </w:r>
          </w:p>
        </w:tc>
        <w:tc>
          <w:tcPr>
            <w:tcW w:w="8232" w:type="dxa"/>
            <w:tcBorders/>
            <w:vAlign w:val="center"/>
          </w:tcPr>
          <w:p>
            <w:pPr>
              <w:pStyle w:val="TableHeading"/>
              <w:suppressLineNumbers/>
              <w:shd w:fill="434C5E" w:val="clear"/>
              <w:bidi w:val="0"/>
              <w:spacing w:before="120" w:after="120"/>
              <w:jc w:val="left"/>
              <w:rPr/>
            </w:pPr>
            <w:r>
              <w:rPr/>
              <w:t>Do</w:t>
            </w:r>
          </w:p>
        </w:tc>
      </w:tr>
      <w:tr>
        <w:trPr/>
        <w:tc>
          <w:tcPr>
            <w:tcW w:w="3107" w:type="dxa"/>
            <w:tcBorders/>
            <w:vAlign w:val="center"/>
          </w:tcPr>
          <w:p>
            <w:pPr>
              <w:pStyle w:val="TableContents"/>
              <w:shd w:fill="2E3440" w:val="clear"/>
              <w:bidi w:val="0"/>
              <w:spacing w:before="120" w:after="120"/>
              <w:jc w:val="left"/>
              <w:rPr/>
            </w:pPr>
            <w:r>
              <w:rPr/>
              <w:t>Daily, automatically</w:t>
            </w:r>
          </w:p>
        </w:tc>
        <w:tc>
          <w:tcPr>
            <w:tcW w:w="8232"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3107" w:type="dxa"/>
            <w:tcBorders/>
            <w:vAlign w:val="center"/>
          </w:tcPr>
          <w:p>
            <w:pPr>
              <w:pStyle w:val="TableContents"/>
              <w:shd w:fill="2E3440" w:val="clear"/>
              <w:bidi w:val="0"/>
              <w:spacing w:before="120" w:after="120"/>
              <w:jc w:val="left"/>
              <w:rPr/>
            </w:pPr>
            <w:r>
              <w:rPr/>
              <w:t>After a plugin update</w:t>
            </w:r>
          </w:p>
        </w:tc>
        <w:tc>
          <w:tcPr>
            <w:tcW w:w="8232"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3107" w:type="dxa"/>
            <w:tcBorders/>
            <w:vAlign w:val="center"/>
          </w:tcPr>
          <w:p>
            <w:pPr>
              <w:pStyle w:val="TableContents"/>
              <w:shd w:fill="2E3440" w:val="clear"/>
              <w:bidi w:val="0"/>
              <w:spacing w:before="120" w:after="120"/>
              <w:jc w:val="left"/>
              <w:rPr/>
            </w:pPr>
            <w:r>
              <w:rPr/>
              <w:t>When a vault moves or you add one</w:t>
            </w:r>
          </w:p>
        </w:tc>
        <w:tc>
          <w:tcPr>
            <w:tcW w:w="8232"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3107" w:type="dxa"/>
            <w:tcBorders/>
            <w:vAlign w:val="center"/>
          </w:tcPr>
          <w:p>
            <w:pPr>
              <w:pStyle w:val="TableContents"/>
              <w:shd w:fill="2E3440" w:val="clear"/>
              <w:bidi w:val="0"/>
              <w:spacing w:before="120" w:after="120"/>
              <w:jc w:val="left"/>
              <w:rPr/>
            </w:pPr>
            <w:r>
              <w:rPr/>
              <w:t>When recall seems blind</w:t>
            </w:r>
          </w:p>
        </w:tc>
        <w:tc>
          <w:tcPr>
            <w:tcW w:w="8232"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3107" w:type="dxa"/>
            <w:tcBorders/>
            <w:vAlign w:val="center"/>
          </w:tcPr>
          <w:p>
            <w:pPr>
              <w:pStyle w:val="TableContents"/>
              <w:shd w:fill="2E3440" w:val="clear"/>
              <w:bidi w:val="0"/>
              <w:spacing w:before="120" w:after="120"/>
              <w:jc w:val="left"/>
              <w:rPr/>
            </w:pPr>
            <w:r>
              <w:rPr/>
              <w:t>When another project's notes outrank this repo's</w:t>
            </w:r>
          </w:p>
        </w:tc>
        <w:tc>
          <w:tcPr>
            <w:tcW w:w="8232" w:type="dxa"/>
            <w:tcBorders/>
            <w:vAlign w:val="center"/>
          </w:tcPr>
          <w:p>
            <w:pPr>
              <w:pStyle w:val="TableContents"/>
              <w:shd w:fill="2E3440" w:val="clear"/>
              <w:bidi w:val="0"/>
              <w:spacing w:before="120" w:after="120"/>
              <w:jc w:val="left"/>
              <w:rPr/>
            </w:pPr>
            <w:r>
              <w:rPr/>
              <w:t xml:space="preserve">crew sends the main checkout's folder name as </w:t>
            </w:r>
            <w:r>
              <w:rPr>
                <w:rStyle w:val="SourceText"/>
              </w:rPr>
              <w:t>--project</w:t>
            </w:r>
            <w:r>
              <w:rPr/>
              <w:t xml:space="preserve">; if your notes' </w:t>
            </w:r>
            <w:r>
              <w:rPr>
                <w:rStyle w:val="SourceText"/>
              </w:rPr>
              <w:t>project:</w:t>
            </w:r>
            <w:r>
              <w:rPr/>
              <w:t xml:space="preserve"> values differ, list them in the repo's </w:t>
            </w:r>
            <w:r>
              <w:rPr>
                <w:rStyle w:val="SourceText"/>
              </w:rPr>
              <w:t>memory.recall.projects</w:t>
            </w:r>
            <w:r>
              <w:rPr/>
              <w:t>.</w:t>
            </w:r>
          </w:p>
        </w:tc>
      </w:tr>
      <w:tr>
        <w:trPr/>
        <w:tc>
          <w:tcPr>
            <w:tcW w:w="3107" w:type="dxa"/>
            <w:tcBorders/>
            <w:vAlign w:val="center"/>
          </w:tcPr>
          <w:p>
            <w:pPr>
              <w:pStyle w:val="TableContents"/>
              <w:shd w:fill="2E3440" w:val="clear"/>
              <w:bidi w:val="0"/>
              <w:spacing w:before="120" w:after="120"/>
              <w:jc w:val="left"/>
              <w:rPr/>
            </w:pPr>
            <w:r>
              <w:rPr/>
              <w:t>When the bridge misbehaves</w:t>
            </w:r>
          </w:p>
        </w:tc>
        <w:tc>
          <w:tcPr>
            <w:tcW w:w="8232"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3107" w:type="dxa"/>
            <w:tcBorders/>
            <w:vAlign w:val="center"/>
          </w:tcPr>
          <w:p>
            <w:pPr>
              <w:pStyle w:val="TableContents"/>
              <w:shd w:fill="2E3440" w:val="clear"/>
              <w:bidi w:val="0"/>
              <w:spacing w:before="120" w:after="120"/>
              <w:jc w:val="left"/>
              <w:rPr/>
            </w:pPr>
            <w:r>
              <w:rPr/>
              <w:t>When the code changed a lot</w:t>
            </w:r>
          </w:p>
        </w:tc>
        <w:tc>
          <w:tcPr>
            <w:tcW w:w="8232"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.crew/config.json</w:t>
      </w:r>
      <w:r>
        <w:rPr/>
        <w:t xml:space="preserve">, set </w:t>
      </w:r>
      <w:r>
        <w:rPr>
          <w:rStyle w:val="SourceText"/>
        </w:rPr>
        <w:t>tracker</w:t>
      </w:r>
      <w:r>
        <w:rPr/>
        <w:t xml:space="preserve"> to </w:t>
      </w:r>
      <w:r>
        <w:rPr>
          <w:rStyle w:val="SourceText"/>
        </w:rPr>
        <w:t>"obsidian"</w:t>
      </w:r>
      <w:r>
        <w:rPr/>
        <w:t xml:space="preserve"> and give the </w:t>
      </w:r>
      <w:r>
        <w:rPr>
          <w:rStyle w:val="SourceText"/>
        </w:rPr>
        <w:t>obsidian</w:t>
      </w:r>
      <w:r>
        <w:rPr/>
        <w:t xml:space="preserve"> block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A repository that ran </w:t>
      </w:r>
      <w:r>
        <w:rPr>
          <w:rStyle w:val="SourceText"/>
        </w:rPr>
        <w:t>/crew:migrate</w:t>
      </w:r>
      <w:r>
        <w:rPr/>
        <w:t xml:space="preserve"> also has </w:t>
      </w:r>
      <w:r>
        <w:rPr>
          <w:rStyle w:val="SourceText"/>
        </w:rPr>
        <w:t>.crew/crew.json</w:t>
      </w:r>
      <w:r>
        <w:rPr/>
        <w:t xml:space="preserve">, which holds the same settings as </w:t>
      </w:r>
      <w:r>
        <w:rPr>
          <w:rStyle w:val="SourceText"/>
        </w:rPr>
        <w:t>tracker.kind</w:t>
      </w:r>
      <w:r>
        <w:rPr/>
        <w:t xml:space="preserve"> and </w:t>
      </w:r>
      <w:r>
        <w:rPr>
          <w:rStyle w:val="SourceText"/>
        </w:rPr>
        <w:t>tracker.obsidian</w:t>
      </w:r>
      <w:r>
        <w:rPr/>
        <w:t xml:space="preserve">; the tracker reads both and refuses when they disagree. Give every repository its own </w:t>
      </w:r>
      <w:r>
        <w:rPr>
          <w:rStyle w:val="SourceText"/>
        </w:rPr>
        <w:t>boardDir</w:t>
      </w:r>
      <w:r>
        <w:rPr/>
        <w:t>: with it unset, every repo shares one board at the vault root, and a card another repo owns is refused.</w:t>
      </w:r>
    </w:p>
    <w:tbl>
      <w:tblPr>
        <w:tblW w:w="10529" w:type="dxa"/>
        <w:jc w:val="left"/>
        <w:tblInd w:w="28" w:type="dxa"/>
        <w:tblLayout w:type="fixed"/>
        <w:tblCellMar>
          <w:top w:w="28" w:type="dxa"/>
          <w:left w:w="28" w:type="dxa"/>
          <w:bottom w:w="28" w:type="dxa"/>
          <w:right w:w="28" w:type="dxa"/>
        </w:tblCellMar>
      </w:tblPr>
      <w:tblGrid>
        <w:gridCol w:w="6488"/>
        <w:gridCol w:w="4041"/>
      </w:tblGrid>
      <w:tr>
        <w:trPr>
          <w:tblHeader w:val="true"/>
        </w:trPr>
        <w:tc>
          <w:tcPr>
            <w:tcW w:w="6488"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6488"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4041" w:type="dxa"/>
            <w:tcBorders/>
            <w:vAlign w:val="center"/>
          </w:tcPr>
          <w:p>
            <w:pPr>
              <w:pStyle w:val="TableContents"/>
              <w:shd w:fill="2E3440" w:val="clear"/>
              <w:bidi w:val="0"/>
              <w:spacing w:before="120" w:after="120"/>
              <w:jc w:val="left"/>
              <w:rPr/>
            </w:pPr>
            <w:r>
              <w:rPr/>
              <w:t>Backlog</w:t>
            </w:r>
          </w:p>
        </w:tc>
      </w:tr>
      <w:tr>
        <w:trPr/>
        <w:tc>
          <w:tcPr>
            <w:tcW w:w="6488"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6488"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6488"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6488"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6488"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4041"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t xml:space="preserve">Any other word in an INDEX status cell maps to no lane, and crew will not guess one. Moving to it is refused, and reading the ticket says the word is not a status crew knows rather than calling the card misplaced. For a word that was retired - </w:t>
      </w:r>
      <w:r>
        <w:rPr>
          <w:rStyle w:val="SourceText"/>
        </w:rPr>
        <w:t>approved</w:t>
      </w:r>
      <w:r>
        <w:rPr/>
        <w:t xml:space="preserve">, </w:t>
      </w:r>
      <w:r>
        <w:rPr>
          <w:rStyle w:val="SourceText"/>
        </w:rPr>
        <w:t>merged</w:t>
      </w:r>
      <w:r>
        <w:rPr/>
        <w:t xml:space="preserve">, </w:t>
      </w:r>
      <w:r>
        <w:rPr>
          <w:rStyle w:val="SourceText"/>
        </w:rPr>
        <w:t>closed</w:t>
      </w:r>
      <w:r>
        <w:rPr/>
        <w:t xml:space="preserve">, </w:t>
      </w:r>
      <w:r>
        <w:rPr>
          <w:rStyle w:val="SourceText"/>
        </w:rPr>
        <w:t>new</w:t>
      </w:r>
      <w:r>
        <w:rPr/>
        <w:t xml:space="preserve">, </w:t>
      </w:r>
      <w:r>
        <w:rPr>
          <w:rStyle w:val="SourceText"/>
        </w:rPr>
        <w:t>parked</w:t>
      </w:r>
      <w:r>
        <w:rPr/>
        <w:t xml:space="preserve"> - it also names the word to write instead (</w:t>
      </w:r>
      <w:r>
        <w:rPr>
          <w:rStyle w:val="SourceText"/>
        </w:rPr>
        <w:t>spec</w:t>
      </w:r>
      <w:r>
        <w:rPr/>
        <w:t xml:space="preserve">, </w:t>
      </w:r>
      <w:r>
        <w:rPr>
          <w:rStyle w:val="SourceText"/>
        </w:rPr>
        <w:t>done</w:t>
      </w:r>
      <w:r>
        <w:rPr/>
        <w:t xml:space="preserve">, </w:t>
      </w:r>
      <w:r>
        <w:rPr>
          <w:rStyle w:val="SourceText"/>
        </w:rPr>
        <w:t>done</w:t>
      </w:r>
      <w:r>
        <w:rPr/>
        <w:t xml:space="preserve">, </w:t>
      </w:r>
      <w:r>
        <w:rPr>
          <w:rStyle w:val="SourceText"/>
        </w:rPr>
        <w:t>direction</w:t>
      </w:r>
      <w:r>
        <w:rPr/>
        <w:t xml:space="preserve">, </w:t>
      </w:r>
      <w:r>
        <w:rPr>
          <w:rStyle w:val="SourceText"/>
        </w:rPr>
        <w:t>needs-owner</w:t>
      </w:r>
      <w:r>
        <w:rPr/>
        <w:t>). Fix the INDEX cell by hand; crew never rewrites it for you.</w:t>
      </w:r>
    </w:p>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with </w:t>
      </w:r>
      <w:r>
        <w:rPr>
          <w:rStyle w:val="SourceText"/>
        </w:rPr>
        <w:t>.git</w:t>
      </w:r>
      <w:r>
        <w:rPr/>
        <w:t xml:space="preserve"> dropped and only the scheme and host case-folded, or the git directory's path when there is no origin. The user and the path keep their case, so </w:t>
      </w:r>
      <w:r>
        <w:rPr>
          <w:rStyle w:val="SourceText"/>
        </w:rPr>
        <w:t>github.com:Team/App</w:t>
      </w:r>
      <w:r>
        <w:rPr/>
        <w:t xml:space="preserve"> and </w:t>
      </w:r>
      <w:r>
        <w:rPr>
          <w:rStyle w:val="SourceText"/>
        </w:rPr>
        <w:t>github.com:team/app</w:t>
      </w:r>
      <w:r>
        <w:rPr/>
        <w:t xml:space="preserve"> are two repositories. An ssh origin keeps its username (</w:t>
      </w:r>
      <w:r>
        <w:rPr>
          <w:rStyle w:val="SourceText"/>
        </w:rPr>
        <w:t>git@github.com:Team/app</w:t>
      </w:r>
      <w:r>
        <w:rPr/>
        <w:t xml:space="preserve">); other URLs lose any user or token; a </w:t>
      </w:r>
      <w:r>
        <w:rPr>
          <w:rStyle w:val="SourceText"/>
        </w:rPr>
        <w:t>file://</w:t>
      </w:r>
      <w:r>
        <w:rPr/>
        <w:t xml:space="preserve"> origin is decoded to its path, with </w:t>
      </w:r>
      <w:r>
        <w:rPr>
          <w:rStyle w:val="SourceText"/>
        </w:rPr>
        <w:t>localhost</w:t>
      </w:r>
      <w:r>
        <w:rPr/>
        <w:t xml:space="preserve"> (or, on POSIX, any host) dropped. A quote around the value counts only as a matched pair.</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 A note written by an older crew for an origin with capitals in it holds the id lowercased; crew refuses it as another repo's and names the line to change it to.</w:t>
      </w:r>
    </w:p>
    <w:p>
      <w:pPr>
        <w:pStyle w:val="BodyText"/>
        <w:bidi w:val="0"/>
        <w:jc w:val="left"/>
        <w:rPr/>
      </w:pPr>
      <w:r>
        <w:rPr/>
        <w:t xml:space="preserve">The full rules, including every refusal, are in the crew README's former section 13c ("Optional: an Obsidian Kanban board"), now </w:t>
      </w:r>
      <w:r>
        <w:rPr>
          <w:rStyle w:val="SourceText"/>
        </w:rPr>
        <w:t>docs/crew/reference/13c-optional-an-obsidian-kanban-board.md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11339" w:type="dxa"/>
        <w:jc w:val="left"/>
        <w:tblInd w:w="28" w:type="dxa"/>
        <w:tblLayout w:type="fixed"/>
        <w:tblCellMar>
          <w:top w:w="28" w:type="dxa"/>
          <w:left w:w="28" w:type="dxa"/>
          <w:bottom w:w="28" w:type="dxa"/>
          <w:right w:w="28" w:type="dxa"/>
        </w:tblCellMar>
      </w:tblPr>
      <w:tblGrid>
        <w:gridCol w:w="2236"/>
        <w:gridCol w:w="8403"/>
        <w:gridCol w:w="700"/>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8403" w:type="dxa"/>
            <w:tcBorders/>
            <w:vAlign w:val="center"/>
          </w:tcPr>
          <w:p>
            <w:pPr>
              <w:pStyle w:val="TableHeading"/>
              <w:suppressLineNumbers/>
              <w:shd w:fill="434C5E" w:val="clear"/>
              <w:bidi w:val="0"/>
              <w:spacing w:before="120" w:after="120"/>
              <w:jc w:val="left"/>
              <w:rPr/>
            </w:pPr>
            <w:r>
              <w:rPr/>
              <w:t>meaning</w:t>
            </w:r>
          </w:p>
        </w:tc>
        <w:tc>
          <w:tcPr>
            <w:tcW w:w="700"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8403" w:type="dxa"/>
            <w:tcBorders/>
            <w:vAlign w:val="center"/>
          </w:tcPr>
          <w:p>
            <w:pPr>
              <w:pStyle w:val="TableContents"/>
              <w:shd w:fill="2E3440" w:val="clear"/>
              <w:bidi w:val="0"/>
              <w:spacing w:before="120" w:after="120"/>
              <w:jc w:val="left"/>
              <w:rPr/>
            </w:pPr>
            <w:r>
              <w:rPr/>
              <w:t>the note exists on this host</w:t>
            </w:r>
          </w:p>
        </w:tc>
        <w:tc>
          <w:tcPr>
            <w:tcW w:w="700"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8403" w:type="dxa"/>
            <w:tcBorders/>
            <w:vAlign w:val="center"/>
          </w:tcPr>
          <w:p>
            <w:pPr>
              <w:pStyle w:val="TableContents"/>
              <w:shd w:fill="2E3440" w:val="clear"/>
              <w:bidi w:val="0"/>
              <w:spacing w:before="120" w:after="120"/>
              <w:jc w:val="left"/>
              <w:rPr/>
            </w:pPr>
            <w:r>
              <w:rPr/>
              <w:t>not a pointer; the body is the memory</w:t>
            </w:r>
          </w:p>
        </w:tc>
        <w:tc>
          <w:tcPr>
            <w:tcW w:w="700"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8403"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8403"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8403"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8403" w:type="dxa"/>
            <w:tcBorders/>
            <w:vAlign w:val="center"/>
          </w:tcPr>
          <w:p>
            <w:pPr>
              <w:pStyle w:val="TableContents"/>
              <w:shd w:fill="2E3440" w:val="clear"/>
              <w:bidi w:val="0"/>
              <w:spacing w:before="120" w:after="120"/>
              <w:jc w:val="left"/>
              <w:rPr/>
            </w:pPr>
            <w:r>
              <w:rPr/>
              <w:t>the configured folder is not there (not mounted, not synced)</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8403" w:type="dxa"/>
            <w:tcBorders/>
            <w:vAlign w:val="center"/>
          </w:tcPr>
          <w:p>
            <w:pPr>
              <w:pStyle w:val="TableContents"/>
              <w:shd w:fill="2E3440" w:val="clear"/>
              <w:bidi w:val="0"/>
              <w:spacing w:before="120" w:after="120"/>
              <w:jc w:val="left"/>
              <w:rPr/>
            </w:pPr>
            <w:r>
              <w:rPr/>
              <w:t>the vault is there, the note is not</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8403" w:type="dxa"/>
            <w:tcBorders/>
            <w:vAlign w:val="center"/>
          </w:tcPr>
          <w:p>
            <w:pPr>
              <w:pStyle w:val="TableContents"/>
              <w:shd w:fill="2E3440" w:val="clear"/>
              <w:bidi w:val="0"/>
              <w:spacing w:before="120" w:after="120"/>
              <w:jc w:val="left"/>
              <w:rPr/>
            </w:pPr>
            <w:r>
              <w:rPr/>
              <w:t>the path passes through a symlink inside the vault, or leaves it</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8403"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00"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11339" w:type="dxa"/>
        <w:jc w:val="left"/>
        <w:tblInd w:w="28" w:type="dxa"/>
        <w:tblLayout w:type="fixed"/>
        <w:tblCellMar>
          <w:top w:w="28" w:type="dxa"/>
          <w:left w:w="28" w:type="dxa"/>
          <w:bottom w:w="28" w:type="dxa"/>
          <w:right w:w="28" w:type="dxa"/>
        </w:tblCellMar>
      </w:tblPr>
      <w:tblGrid>
        <w:gridCol w:w="8748"/>
        <w:gridCol w:w="1890"/>
        <w:gridCol w:w="701"/>
      </w:tblGrid>
      <w:tr>
        <w:trPr>
          <w:tblHeader w:val="true"/>
        </w:trPr>
        <w:tc>
          <w:tcPr>
            <w:tcW w:w="8748" w:type="dxa"/>
            <w:tcBorders/>
            <w:vAlign w:val="center"/>
          </w:tcPr>
          <w:p>
            <w:pPr>
              <w:pStyle w:val="TableHeading"/>
              <w:suppressLineNumbers/>
              <w:shd w:fill="434C5E" w:val="clear"/>
              <w:bidi w:val="0"/>
              <w:spacing w:before="120" w:after="120"/>
              <w:jc w:val="left"/>
              <w:rPr/>
            </w:pPr>
            <w:r>
              <w:rPr/>
              <w:t>state</w:t>
            </w:r>
          </w:p>
        </w:tc>
        <w:tc>
          <w:tcPr>
            <w:tcW w:w="1890" w:type="dxa"/>
            <w:tcBorders/>
            <w:vAlign w:val="center"/>
          </w:tcPr>
          <w:p>
            <w:pPr>
              <w:pStyle w:val="TableHeading"/>
              <w:suppressLineNumbers/>
              <w:shd w:fill="434C5E" w:val="clear"/>
              <w:bidi w:val="0"/>
              <w:spacing w:before="120" w:after="120"/>
              <w:jc w:val="left"/>
              <w:rPr/>
            </w:pPr>
            <w:r>
              <w:rPr/>
              <w:t>memory file</w:t>
            </w:r>
          </w:p>
        </w:tc>
        <w:tc>
          <w:tcPr>
            <w:tcW w:w="701" w:type="dxa"/>
            <w:tcBorders/>
            <w:vAlign w:val="center"/>
          </w:tcPr>
          <w:p>
            <w:pPr>
              <w:pStyle w:val="TableHeading"/>
              <w:suppressLineNumbers/>
              <w:shd w:fill="434C5E" w:val="clear"/>
              <w:bidi w:val="0"/>
              <w:spacing w:before="120" w:after="120"/>
              <w:jc w:val="left"/>
              <w:rPr/>
            </w:pPr>
            <w:r>
              <w:rPr/>
              <w:t>exit</w:t>
            </w:r>
          </w:p>
        </w:tc>
      </w:tr>
      <w:tr>
        <w:trPr/>
        <w:tc>
          <w:tcPr>
            <w:tcW w:w="8748" w:type="dxa"/>
            <w:tcBorders/>
            <w:vAlign w:val="center"/>
          </w:tcPr>
          <w:p>
            <w:pPr>
              <w:pStyle w:val="TableContents"/>
              <w:shd w:fill="2E3440" w:val="clear"/>
              <w:bidi w:val="0"/>
              <w:spacing w:before="120" w:after="120"/>
              <w:jc w:val="left"/>
              <w:rPr/>
            </w:pPr>
            <w:r>
              <w:rPr>
                <w:rStyle w:val="SourceText"/>
              </w:rPr>
              <w:t>pointer-written</w:t>
            </w:r>
          </w:p>
        </w:tc>
        <w:tc>
          <w:tcPr>
            <w:tcW w:w="1890" w:type="dxa"/>
            <w:tcBorders/>
            <w:vAlign w:val="center"/>
          </w:tcPr>
          <w:p>
            <w:pPr>
              <w:pStyle w:val="TableContents"/>
              <w:shd w:fill="2E3440" w:val="clear"/>
              <w:bidi w:val="0"/>
              <w:spacing w:before="120" w:after="120"/>
              <w:jc w:val="left"/>
              <w:rPr/>
            </w:pPr>
            <w:r>
              <w:rPr/>
              <w:t>body replaced by the pointer</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already-pointer</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kept-full-text: no vault configured</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11339" w:type="dxa"/>
        <w:jc w:val="left"/>
        <w:tblInd w:w="28" w:type="dxa"/>
        <w:tblLayout w:type="fixed"/>
        <w:tblCellMar>
          <w:top w:w="28" w:type="dxa"/>
          <w:left w:w="28" w:type="dxa"/>
          <w:bottom w:w="28" w:type="dxa"/>
          <w:right w:w="28" w:type="dxa"/>
        </w:tblCellMar>
      </w:tblPr>
      <w:tblGrid>
        <w:gridCol w:w="1527"/>
        <w:gridCol w:w="9812"/>
      </w:tblGrid>
      <w:tr>
        <w:trPr>
          <w:tblHeader w:val="true"/>
        </w:trPr>
        <w:tc>
          <w:tcPr>
            <w:tcW w:w="1527" w:type="dxa"/>
            <w:tcBorders/>
            <w:vAlign w:val="center"/>
          </w:tcPr>
          <w:p>
            <w:pPr>
              <w:pStyle w:val="TableHeading"/>
              <w:suppressLineNumbers/>
              <w:shd w:fill="434C5E" w:val="clear"/>
              <w:bidi w:val="0"/>
              <w:spacing w:before="120" w:after="120"/>
              <w:jc w:val="left"/>
              <w:rPr/>
            </w:pPr>
            <w:r>
              <w:rPr/>
              <w:t>action</w:t>
            </w:r>
          </w:p>
        </w:tc>
        <w:tc>
          <w:tcPr>
            <w:tcW w:w="9812" w:type="dxa"/>
            <w:tcBorders/>
            <w:vAlign w:val="center"/>
          </w:tcPr>
          <w:p>
            <w:pPr>
              <w:pStyle w:val="TableHeading"/>
              <w:suppressLineNumbers/>
              <w:shd w:fill="434C5E" w:val="clear"/>
              <w:bidi w:val="0"/>
              <w:spacing w:before="120" w:after="120"/>
              <w:jc w:val="left"/>
              <w:rPr/>
            </w:pPr>
            <w:r>
              <w:rPr/>
              <w:t>meaning</w:t>
            </w:r>
          </w:p>
        </w:tc>
      </w:tr>
      <w:tr>
        <w:trPr/>
        <w:tc>
          <w:tcPr>
            <w:tcW w:w="1527" w:type="dxa"/>
            <w:tcBorders/>
            <w:vAlign w:val="center"/>
          </w:tcPr>
          <w:p>
            <w:pPr>
              <w:pStyle w:val="TableContents"/>
              <w:shd w:fill="2E3440" w:val="clear"/>
              <w:bidi w:val="0"/>
              <w:spacing w:before="120" w:after="120"/>
              <w:jc w:val="left"/>
              <w:rPr/>
            </w:pPr>
            <w:r>
              <w:rPr>
                <w:rStyle w:val="SourceText"/>
              </w:rPr>
              <w:t>convert</w:t>
            </w:r>
          </w:p>
        </w:tc>
        <w:tc>
          <w:tcPr>
            <w:tcW w:w="981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527" w:type="dxa"/>
            <w:tcBorders/>
            <w:vAlign w:val="center"/>
          </w:tcPr>
          <w:p>
            <w:pPr>
              <w:pStyle w:val="TableContents"/>
              <w:shd w:fill="2E3440" w:val="clear"/>
              <w:bidi w:val="0"/>
              <w:spacing w:before="120" w:after="120"/>
              <w:jc w:val="left"/>
              <w:rPr/>
            </w:pPr>
            <w:r>
              <w:rPr>
                <w:rStyle w:val="SourceText"/>
              </w:rPr>
              <w:t>append</w:t>
            </w:r>
          </w:p>
        </w:tc>
        <w:tc>
          <w:tcPr>
            <w:tcW w:w="981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527" w:type="dxa"/>
            <w:tcBorders/>
            <w:vAlign w:val="center"/>
          </w:tcPr>
          <w:p>
            <w:pPr>
              <w:pStyle w:val="TableContents"/>
              <w:shd w:fill="2E3440" w:val="clear"/>
              <w:bidi w:val="0"/>
              <w:spacing w:before="120" w:after="120"/>
              <w:jc w:val="left"/>
              <w:rPr/>
            </w:pPr>
            <w:r>
              <w:rPr>
                <w:rStyle w:val="SourceText"/>
              </w:rPr>
              <w:t>skip: already a pointer</w:t>
            </w:r>
          </w:p>
        </w:tc>
        <w:tc>
          <w:tcPr>
            <w:tcW w:w="9812" w:type="dxa"/>
            <w:tcBorders/>
            <w:vAlign w:val="center"/>
          </w:tcPr>
          <w:p>
            <w:pPr>
              <w:pStyle w:val="TableContents"/>
              <w:shd w:fill="2E3440" w:val="clear"/>
              <w:bidi w:val="0"/>
              <w:spacing w:before="120" w:after="120"/>
              <w:jc w:val="left"/>
              <w:rPr/>
            </w:pPr>
            <w:r>
              <w:rPr/>
              <w:t>nothing to do</w:t>
            </w:r>
          </w:p>
        </w:tc>
      </w:tr>
      <w:tr>
        <w:trPr/>
        <w:tc>
          <w:tcPr>
            <w:tcW w:w="1527" w:type="dxa"/>
            <w:tcBorders/>
            <w:vAlign w:val="center"/>
          </w:tcPr>
          <w:p>
            <w:pPr>
              <w:pStyle w:val="TableContents"/>
              <w:shd w:fill="2E3440" w:val="clear"/>
              <w:bidi w:val="0"/>
              <w:spacing w:before="120" w:after="120"/>
              <w:jc w:val="left"/>
              <w:rPr/>
            </w:pPr>
            <w:r>
              <w:rPr>
                <w:rStyle w:val="SourceText"/>
              </w:rPr>
              <w:t>skip: &lt;state&gt;</w:t>
            </w:r>
          </w:p>
        </w:tc>
        <w:tc>
          <w:tcPr>
            <w:tcW w:w="981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527" w:type="dxa"/>
            <w:tcBorders/>
            <w:vAlign w:val="center"/>
          </w:tcPr>
          <w:p>
            <w:pPr>
              <w:pStyle w:val="TableContents"/>
              <w:shd w:fill="2E3440" w:val="clear"/>
              <w:bidi w:val="0"/>
              <w:spacing w:before="120" w:after="120"/>
              <w:jc w:val="left"/>
              <w:rPr/>
            </w:pPr>
            <w:r>
              <w:rPr>
                <w:rStyle w:val="SourceText"/>
              </w:rPr>
              <w:t>refuse: &lt;reason&gt;</w:t>
            </w:r>
          </w:p>
        </w:tc>
        <w:tc>
          <w:tcPr>
            <w:tcW w:w="981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Each recall names the repo's project, so that notes of this project rank first inside each vault: </w:t>
      </w:r>
      <w:r>
        <w:rPr>
          <w:rStyle w:val="SourceText"/>
        </w:rPr>
        <w:t>memory.recall.projects</w:t>
      </w:r>
      <w:r>
        <w:rPr/>
        <w:t xml:space="preserve"> (a list of names, repo-only) when set, otherwise the main checkout's directory name (a linked worktree reports the main checkout's name). crew sends it as </w:t>
      </w:r>
      <w:r>
        <w:rPr>
          <w:rStyle w:val="SourceText"/>
        </w:rPr>
        <w:t>--project=&lt;a,b&gt;</w:t>
      </w:r>
      <w:r>
        <w:rPr/>
        <w:t xml:space="preserve"> and ranks nothing itself. An obsidian-vault CLI too old to know </w:t>
      </w:r>
      <w:r>
        <w:rPr>
          <w:rStyle w:val="SourceText"/>
        </w:rPr>
        <w:t>--project</w:t>
      </w:r>
      <w:r>
        <w:rPr/>
        <w:t xml:space="preserve"> exits 2; crew then asks once more without it, inside the same 4-second budget, and the log's </w:t>
      </w:r>
      <w:r>
        <w:rPr>
          <w:rStyle w:val="SourceText"/>
        </w:rPr>
        <w:t>recall</w:t>
      </w:r>
      <w:r>
        <w:rPr/>
        <w:t xml:space="preserve"> record says so: </w:t>
      </w:r>
      <w:r>
        <w:rPr>
          <w:rStyle w:val="SourceText"/>
        </w:rPr>
        <w:t>project</w:t>
      </w:r>
      <w:r>
        <w:rPr/>
        <w:t xml:space="preserve"> is the list sent, </w:t>
      </w:r>
      <w:r>
        <w:rPr>
          <w:rStyle w:val="SourceText"/>
        </w:rPr>
        <w:t>projectUsed</w:t>
      </w:r>
      <w:r>
        <w:rPr/>
        <w:t xml:space="preserve"> is </w:t>
      </w:r>
      <w:r>
        <w:rPr>
          <w:rStyle w:val="SourceText"/>
        </w:rPr>
        <w:t>true</w:t>
      </w:r>
      <w:r>
        <w:rPr/>
        <w:t xml:space="preserve"> when the answer came from the call with the project, </w:t>
      </w:r>
      <w:r>
        <w:rPr>
          <w:rStyle w:val="SourceText"/>
        </w:rPr>
        <w:t>false</w:t>
      </w:r>
      <w:r>
        <w:rPr/>
        <w:t xml:space="preserve"> when it came from the retry without it, and </w:t>
      </w:r>
      <w:r>
        <w:rPr>
          <w:rStyle w:val="SourceText"/>
        </w:rPr>
        <w:t>null</w:t>
      </w:r>
      <w:r>
        <w:rPr/>
        <w:t xml:space="preserve"> when no project was sent or no call answered with JSON. Set </w:t>
      </w:r>
      <w:r>
        <w:rPr>
          <w:rStyle w:val="SourceText"/>
        </w:rPr>
        <w:t>memory.recall.projects</w:t>
      </w:r>
      <w:r>
        <w:rPr/>
        <w:t xml:space="preserve"> when the vault's </w:t>
      </w:r>
      <w:r>
        <w:rPr>
          <w:rStyle w:val="SourceText"/>
        </w:rPr>
        <w:t>project:</w:t>
      </w:r>
      <w:r>
        <w:rPr/>
        <w:t xml:space="preserve"> values do not match the checkout's folder name.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 [--project=a,b]</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