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810" w:type="dxa"/>
        <w:jc w:val="left"/>
        <w:tblInd w:w="0" w:type="dxa"/>
        <w:tblLayout w:type="fixed"/>
        <w:tblCellMar>
          <w:top w:w="28" w:type="dxa"/>
          <w:left w:w="28" w:type="dxa"/>
          <w:bottom w:w="28" w:type="dxa"/>
          <w:right w:w="28" w:type="dxa"/>
        </w:tblCellMar>
      </w:tblPr>
      <w:tblGrid>
        <w:gridCol w:w="2116"/>
        <w:gridCol w:w="2446"/>
        <w:gridCol w:w="2131"/>
        <w:gridCol w:w="2986"/>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131"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131"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131"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131"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131"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131"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131"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131"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131"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131"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p>
        </w:tc>
        <w:tc>
          <w:tcPr>
            <w:tcW w:w="2131" w:type="dxa"/>
            <w:tcBorders/>
            <w:vAlign w:val="center"/>
          </w:tcPr>
          <w:p>
            <w:pPr>
              <w:pStyle w:val="TableContents"/>
              <w:shd w:fill="2E3440" w:val="clear"/>
              <w:bidi w:val="0"/>
              <w:spacing w:before="120" w:after="120"/>
              <w:jc w:val="left"/>
              <w:rPr/>
            </w:pPr>
            <w:r>
              <w:rPr/>
              <w:t>pings an external channel</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disables it), </w:t>
            </w:r>
            <w:r>
              <w:rPr>
                <w:rStyle w:val="SourceText"/>
              </w:rPr>
              <w:t>notify.events</w:t>
            </w:r>
          </w:p>
        </w:tc>
        <w:tc>
          <w:tcPr>
            <w:tcW w:w="2131" w:type="dxa"/>
            <w:tcBorders/>
            <w:vAlign w:val="center"/>
          </w:tcPr>
          <w:p>
            <w:pPr>
              <w:pStyle w:val="TableContents"/>
              <w:shd w:fill="2E3440" w:val="clear"/>
              <w:bidi w:val="0"/>
              <w:spacing w:before="120" w:after="120"/>
              <w:jc w:val="left"/>
              <w:rPr/>
            </w:pPr>
            <w:r>
              <w:rPr>
                <w:rStyle w:val="SourceText"/>
              </w:rPr>
              <w:t>none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131"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131"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131"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admitting the review fell short ("skipped", "truncated", "could not review") is still INCOMPLETE </w:t>
      </w:r>
      <w:r>
        <w:rPr>
          <w:rStyle w:val="SourceText"/>
        </w:rPr>
        <w:t>reviewer</w:t>
      </w:r>
      <w:r>
        <w:rPr/>
        <w:t xml:space="preserve">.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w:t>
      </w:r>
      <w:r>
        <w:rPr>
          <w:rStyle w:val="SourceText"/>
        </w:rPr>
        <w:t>waiting behind &lt;ticket&gt;</w:t>
      </w:r>
      <w:r>
        <w:rPr>
          <w:rStyle w:val="Strong"/>
        </w:rPr>
        <w:t>.</w:t>
      </w:r>
      <w:r>
        <w:rPr/>
        <w:t xml:space="preserve"> The clone's merge train is armed (L-0520)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acquire again before reviewing;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acquire again. </w:t>
      </w:r>
      <w:r>
        <w:rPr>
          <w:rStyle w:val="SourceText"/>
        </w:rPr>
        <w:t>could not tell</w:t>
      </w:r>
      <w:r>
        <w:rPr/>
        <w:t xml:space="preserve"> (exit 3) means the train state could not be read — the message names the file; nothing is guessed.</w:t>
      </w:r>
    </w:p>
    <w:p>
      <w:pPr>
        <w:pStyle w:val="BodyText"/>
        <w:numPr>
          <w:ilvl w:val="0"/>
          <w:numId w:val="10"/>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both cloud-guard no-python fallbacks and </w:t>
      </w:r>
      <w:r>
        <w:rPr>
          <w:rStyle w:val="SourceText"/>
        </w:rPr>
        <w:t>auto-clear.ps1</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The verify gate, the scope and completion wrappers and </w:t>
      </w:r>
      <w:r>
        <w:rPr>
          <w:rStyle w:val="SourceText"/>
        </w:rPr>
        <w:t>review_gate.py</w:t>
      </w:r>
      <w:r>
        <w:rPr/>
        <w:t xml:space="preserve"> do not inherit yet, so </w:t>
      </w:r>
      <w:r>
        <w:rPr>
          <w:rStyle w:val="SourceText"/>
        </w:rPr>
        <w:t>verify-gate.ps1</w:t>
      </w:r>
      <w:r>
        <w:rPr/>
        <w:t xml:space="preserve"> still reads the lane's own </w:t>
      </w:r>
      <w:r>
        <w:rPr>
          <w:rStyle w:val="SourceText"/>
        </w:rPr>
        <w:t>emergency.standDown</w:t>
      </w:r>
      <w:r>
        <w:rPr/>
        <w:t xml:space="preserve"> while the bash gate reads the inherited one. </w:t>
      </w:r>
    </w:p>
    <w:p>
      <w:pPr>
        <w:pStyle w:val="BodyText"/>
        <w:numPr>
          <w:ilvl w:val="0"/>
          <w:numId w:val="12"/>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1134"/>
          <w:tab w:val="left" w:pos="829" w:leader="none"/>
        </w:tabs>
        <w:bidi w:val="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w:t>
      </w:r>
    </w:p>
    <w:p>
      <w:pPr>
        <w:pStyle w:val="BodyText"/>
        <w:numPr>
          <w:ilvl w:val="0"/>
          <w:numId w:val="14"/>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verify-gate-says-could-not-tell"/>
      <w:bookmarkEnd w:id="5"/>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15"/>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15"/>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15"/>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15"/>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15"/>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15"/>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15"/>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6" w:name="promote-gate-blocks-a-worktree-deploy"/>
      <w:bookmarkEnd w:id="6"/>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6"/>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6"/>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6"/>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6"/>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6"/>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6"/>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6"/>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6"/>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7" w:name="cloud-guard-false-positives"/>
      <w:bookmarkEnd w:id="7"/>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7"/>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7"/>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7"/>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8" w:name="obsidian"/>
      <w:bookmarkEnd w:id="8"/>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18"/>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18"/>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19"/>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19"/>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19"/>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19"/>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19"/>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19"/>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19"/>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9" w:name="auto-wrap-up-clear-and-resume"/>
      <w:bookmarkEnd w:id="9"/>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0" w:name="auto-clear-did-nothing-on-windows"/>
      <w:bookmarkEnd w:id="10"/>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20"/>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20"/>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20"/>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1" w:name="claude-code-compacted-by-itself"/>
      <w:bookmarkEnd w:id="11"/>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2" w:name="turning-things-off"/>
      <w:bookmarkEnd w:id="12"/>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810" w:type="dxa"/>
        <w:jc w:val="left"/>
        <w:tblInd w:w="0" w:type="dxa"/>
        <w:tblLayout w:type="fixed"/>
        <w:tblCellMar>
          <w:top w:w="28" w:type="dxa"/>
          <w:left w:w="28" w:type="dxa"/>
          <w:bottom w:w="28" w:type="dxa"/>
          <w:right w:w="28" w:type="dxa"/>
        </w:tblCellMar>
      </w:tblPr>
      <w:tblGrid>
        <w:gridCol w:w="4730"/>
        <w:gridCol w:w="1699"/>
        <w:gridCol w:w="1841"/>
        <w:gridCol w:w="3540"/>
      </w:tblGrid>
      <w:tr>
        <w:trPr>
          <w:tblHeader w:val="true"/>
        </w:trPr>
        <w:tc>
          <w:tcPr>
            <w:tcW w:w="4730" w:type="dxa"/>
            <w:tcBorders/>
            <w:vAlign w:val="center"/>
          </w:tcPr>
          <w:p>
            <w:pPr>
              <w:pStyle w:val="TableHeading"/>
              <w:suppressLineNumbers/>
              <w:shd w:fill="434C5E" w:val="clear"/>
              <w:bidi w:val="0"/>
              <w:spacing w:before="120" w:after="120"/>
              <w:jc w:val="left"/>
              <w:rPr/>
            </w:pPr>
            <w:r>
              <w:rPr/>
              <w:t>Key</w:t>
            </w:r>
          </w:p>
        </w:tc>
        <w:tc>
          <w:tcPr>
            <w:tcW w:w="1699" w:type="dxa"/>
            <w:tcBorders/>
            <w:vAlign w:val="center"/>
          </w:tcPr>
          <w:p>
            <w:pPr>
              <w:pStyle w:val="TableHeading"/>
              <w:suppressLineNumbers/>
              <w:shd w:fill="434C5E" w:val="clear"/>
              <w:bidi w:val="0"/>
              <w:spacing w:before="120" w:after="120"/>
              <w:jc w:val="left"/>
              <w:rPr/>
            </w:pPr>
            <w:r>
              <w:rPr/>
              <w:t>Lives in</w:t>
            </w:r>
          </w:p>
        </w:tc>
        <w:tc>
          <w:tcPr>
            <w:tcW w:w="1841" w:type="dxa"/>
            <w:tcBorders/>
            <w:vAlign w:val="center"/>
          </w:tcPr>
          <w:p>
            <w:pPr>
              <w:pStyle w:val="TableHeading"/>
              <w:suppressLineNumbers/>
              <w:shd w:fill="434C5E" w:val="clear"/>
              <w:bidi w:val="0"/>
              <w:spacing w:before="120" w:after="120"/>
              <w:jc w:val="left"/>
              <w:rPr/>
            </w:pPr>
            <w:r>
              <w:rPr/>
              <w:t>Values</w:t>
            </w:r>
          </w:p>
        </w:tc>
        <w:tc>
          <w:tcPr>
            <w:tcW w:w="3540" w:type="dxa"/>
            <w:tcBorders/>
            <w:vAlign w:val="center"/>
          </w:tcPr>
          <w:p>
            <w:pPr>
              <w:pStyle w:val="TableHeading"/>
              <w:suppressLineNumbers/>
              <w:shd w:fill="434C5E" w:val="clear"/>
              <w:bidi w:val="0"/>
              <w:spacing w:before="120" w:after="120"/>
              <w:jc w:val="left"/>
              <w:rPr/>
            </w:pPr>
            <w:r>
              <w:rPr/>
              <w:t>What "off"/floor means</w:t>
            </w:r>
          </w:p>
        </w:tc>
      </w:tr>
      <w:tr>
        <w:trPr/>
        <w:tc>
          <w:tcPr>
            <w:tcW w:w="4730" w:type="dxa"/>
            <w:tcBorders/>
            <w:vAlign w:val="center"/>
          </w:tcPr>
          <w:p>
            <w:pPr>
              <w:pStyle w:val="TableContents"/>
              <w:shd w:fill="2E3440" w:val="clear"/>
              <w:bidi w:val="0"/>
              <w:spacing w:before="120" w:after="120"/>
              <w:jc w:val="left"/>
              <w:rPr/>
            </w:pPr>
            <w:r>
              <w:rPr>
                <w:rStyle w:val="SourceText"/>
              </w:rPr>
              <w:t>memory.inject</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730" w:type="dxa"/>
            <w:tcBorders/>
            <w:vAlign w:val="center"/>
          </w:tcPr>
          <w:p>
            <w:pPr>
              <w:pStyle w:val="TableContents"/>
              <w:shd w:fill="2E3440" w:val="clear"/>
              <w:bidi w:val="0"/>
              <w:spacing w:before="120" w:after="120"/>
              <w:jc w:val="left"/>
              <w:rPr/>
            </w:pPr>
            <w:r>
              <w:rPr>
                <w:rStyle w:val="SourceText"/>
              </w:rPr>
              <w:t>guards.cloudGuard</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730" w:type="dxa"/>
            <w:tcBorders/>
            <w:vAlign w:val="center"/>
          </w:tcPr>
          <w:p>
            <w:pPr>
              <w:pStyle w:val="TableContents"/>
              <w:shd w:fill="2E3440" w:val="clear"/>
              <w:bidi w:val="0"/>
              <w:spacing w:before="120" w:after="120"/>
              <w:jc w:val="left"/>
              <w:rPr/>
            </w:pPr>
            <w:r>
              <w:rPr>
                <w:rStyle w:val="SourceText"/>
              </w:rPr>
              <w:t>guards.roleWrites</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730"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3540"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730"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730" w:type="dxa"/>
            <w:tcBorders/>
            <w:vAlign w:val="center"/>
          </w:tcPr>
          <w:p>
            <w:pPr>
              <w:pStyle w:val="TableContents"/>
              <w:shd w:fill="2E3440" w:val="clear"/>
              <w:bidi w:val="0"/>
              <w:spacing w:before="120" w:after="120"/>
              <w:jc w:val="left"/>
              <w:rPr/>
            </w:pPr>
            <w:r>
              <w:rPr>
                <w:rStyle w:val="SourceText"/>
              </w:rPr>
              <w:t>scope.mode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3540"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730" w:type="dxa"/>
            <w:tcBorders/>
            <w:vAlign w:val="center"/>
          </w:tcPr>
          <w:p>
            <w:pPr>
              <w:pStyle w:val="TableContents"/>
              <w:shd w:fill="2E3440" w:val="clear"/>
              <w:bidi w:val="0"/>
              <w:spacing w:before="120" w:after="120"/>
              <w:jc w:val="left"/>
              <w:rPr/>
            </w:pPr>
            <w:r>
              <w:rPr>
                <w:rStyle w:val="SourceText"/>
              </w:rPr>
              <w:t>scope.allowCliApproval</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730" w:type="dxa"/>
            <w:tcBorders/>
            <w:vAlign w:val="center"/>
          </w:tcPr>
          <w:p>
            <w:pPr>
              <w:pStyle w:val="TableContents"/>
              <w:shd w:fill="2E3440" w:val="clear"/>
              <w:bidi w:val="0"/>
              <w:spacing w:before="120" w:after="120"/>
              <w:jc w:val="left"/>
              <w:rPr/>
            </w:pPr>
            <w:r>
              <w:rPr>
                <w:rStyle w:val="SourceText"/>
              </w:rPr>
              <w:t>verifyGate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730" w:type="dxa"/>
            <w:tcBorders/>
            <w:vAlign w:val="center"/>
          </w:tcPr>
          <w:p>
            <w:pPr>
              <w:pStyle w:val="TableContents"/>
              <w:shd w:fill="2E3440" w:val="clear"/>
              <w:bidi w:val="0"/>
              <w:spacing w:before="120" w:after="120"/>
              <w:jc w:val="left"/>
              <w:rPr/>
            </w:pPr>
            <w:r>
              <w:rPr>
                <w:rStyle w:val="SourceText"/>
              </w:rPr>
              <w:t>context.enabled</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730"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730" w:type="dxa"/>
            <w:tcBorders/>
            <w:vAlign w:val="center"/>
          </w:tcPr>
          <w:p>
            <w:pPr>
              <w:pStyle w:val="TableContents"/>
              <w:shd w:fill="2E3440" w:val="clear"/>
              <w:bidi w:val="0"/>
              <w:spacing w:before="120" w:after="120"/>
              <w:jc w:val="left"/>
              <w:rPr/>
            </w:pPr>
            <w:r>
              <w:rPr>
                <w:rStyle w:val="SourceText"/>
              </w:rPr>
              <w:t>notify.provider</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 xml:space="preserve">provider name / </w:t>
            </w:r>
            <w:r>
              <w:rPr>
                <w:rStyle w:val="SourceText"/>
              </w:rPr>
              <w:t>none</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the </w:t>
            </w:r>
            <w:r>
              <w:rPr>
                <w:rStyle w:val="SourceText"/>
              </w:rPr>
              <w:t>Notification</w:t>
            </w:r>
            <w:r>
              <w:rPr/>
              <w:t xml:space="preserve"> hook sends nothing</w:t>
            </w:r>
          </w:p>
        </w:tc>
      </w:tr>
      <w:tr>
        <w:trPr/>
        <w:tc>
          <w:tcPr>
            <w:tcW w:w="4730" w:type="dxa"/>
            <w:tcBorders/>
            <w:vAlign w:val="center"/>
          </w:tcPr>
          <w:p>
            <w:pPr>
              <w:pStyle w:val="TableContents"/>
              <w:shd w:fill="2E3440" w:val="clear"/>
              <w:bidi w:val="0"/>
              <w:spacing w:before="120" w:after="120"/>
              <w:jc w:val="left"/>
              <w:rPr/>
            </w:pPr>
            <w:r>
              <w:rPr>
                <w:rStyle w:val="SourceText"/>
              </w:rPr>
              <w:t>change.requireForProduction</w:t>
            </w:r>
          </w:p>
        </w:tc>
        <w:tc>
          <w:tcPr>
            <w:tcW w:w="1699" w:type="dxa"/>
            <w:tcBorders/>
            <w:vAlign w:val="center"/>
          </w:tcPr>
          <w:p>
            <w:pPr>
              <w:pStyle w:val="TableContents"/>
              <w:shd w:fill="2E3440" w:val="clear"/>
              <w:bidi w:val="0"/>
              <w:spacing w:before="120" w:after="120"/>
              <w:jc w:val="left"/>
              <w:rPr/>
            </w:pPr>
            <w:r>
              <w:rPr/>
              <w:t>both layers, ratchets (may only turn ON)</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730" w:type="dxa"/>
            <w:tcBorders/>
            <w:vAlign w:val="center"/>
          </w:tcPr>
          <w:p>
            <w:pPr>
              <w:pStyle w:val="TableContents"/>
              <w:shd w:fill="2E3440" w:val="clear"/>
              <w:bidi w:val="0"/>
              <w:spacing w:before="120" w:after="120"/>
              <w:jc w:val="left"/>
              <w:rPr/>
            </w:pPr>
            <w:r>
              <w:rPr>
                <w:rStyle w:val="SourceText"/>
              </w:rPr>
              <w:t>install.policy</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3540"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3" w:name="web-testing"/>
      <w:bookmarkEnd w:id="13"/>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1"/>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1"/>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1"/>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1"/>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4" w:name="windows-notes"/>
      <w:bookmarkEnd w:id="14"/>
      <w:r>
        <w:rPr/>
        <w:t>Windows Notes</w:t>
      </w:r>
    </w:p>
    <w:p>
      <w:pPr>
        <w:pStyle w:val="BodyText"/>
        <w:numPr>
          <w:ilvl w:val="0"/>
          <w:numId w:val="22"/>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2"/>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2"/>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2"/>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5" w:name="auto-wrap-up-auto-clear-and-auto-resume"/>
      <w:bookmarkEnd w:id="15"/>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6" w:name="what-the-cycle-does"/>
      <w:bookmarkEnd w:id="16"/>
      <w:r>
        <w:rPr/>
        <w:t>What the Cycle Does</w:t>
      </w:r>
    </w:p>
    <w:p>
      <w:pPr>
        <w:pStyle w:val="BodyText"/>
        <w:numPr>
          <w:ilvl w:val="0"/>
          <w:numId w:val="23"/>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23"/>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7" w:name="turning-it-on-and-off"/>
      <w:bookmarkEnd w:id="17"/>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810" w:type="dxa"/>
        <w:jc w:val="left"/>
        <w:tblInd w:w="0" w:type="dxa"/>
        <w:tblLayout w:type="fixed"/>
        <w:tblCellMar>
          <w:top w:w="28" w:type="dxa"/>
          <w:left w:w="28" w:type="dxa"/>
          <w:bottom w:w="28" w:type="dxa"/>
          <w:right w:w="28" w:type="dxa"/>
        </w:tblCellMar>
      </w:tblPr>
      <w:tblGrid>
        <w:gridCol w:w="2419"/>
        <w:gridCol w:w="4096"/>
        <w:gridCol w:w="1750"/>
        <w:gridCol w:w="3545"/>
      </w:tblGrid>
      <w:tr>
        <w:trPr>
          <w:tblHeader w:val="true"/>
        </w:trPr>
        <w:tc>
          <w:tcPr>
            <w:tcW w:w="2419"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750" w:type="dxa"/>
            <w:tcBorders/>
            <w:vAlign w:val="center"/>
          </w:tcPr>
          <w:p>
            <w:pPr>
              <w:pStyle w:val="TableHeading"/>
              <w:suppressLineNumbers/>
              <w:shd w:fill="434C5E" w:val="clear"/>
              <w:bidi w:val="0"/>
              <w:spacing w:before="120" w:after="120"/>
              <w:jc w:val="left"/>
              <w:rPr/>
            </w:pPr>
            <w:r>
              <w:rPr/>
              <w:t>Value</w:t>
            </w:r>
          </w:p>
        </w:tc>
        <w:tc>
          <w:tcPr>
            <w:tcW w:w="3545" w:type="dxa"/>
            <w:tcBorders/>
            <w:vAlign w:val="center"/>
          </w:tcPr>
          <w:p>
            <w:pPr>
              <w:pStyle w:val="TableHeading"/>
              <w:suppressLineNumbers/>
              <w:shd w:fill="434C5E" w:val="clear"/>
              <w:bidi w:val="0"/>
              <w:spacing w:before="120" w:after="120"/>
              <w:jc w:val="left"/>
              <w:rPr/>
            </w:pPr>
            <w:r>
              <w:rPr/>
              <w:t>Effect</w:t>
            </w:r>
          </w:p>
        </w:tc>
      </w:tr>
      <w:tr>
        <w:trPr/>
        <w:tc>
          <w:tcPr>
            <w:tcW w:w="2419"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750" w:type="dxa"/>
            <w:tcBorders/>
            <w:vAlign w:val="center"/>
          </w:tcPr>
          <w:p>
            <w:pPr>
              <w:pStyle w:val="TableContents"/>
              <w:shd w:fill="2E3440" w:val="clear"/>
              <w:bidi w:val="0"/>
              <w:spacing w:before="120" w:after="120"/>
              <w:jc w:val="left"/>
              <w:rPr/>
            </w:pPr>
            <w:r>
              <w:rPr>
                <w:rStyle w:val="SourceText"/>
              </w:rPr>
              <w:t>true</w:t>
            </w:r>
          </w:p>
        </w:tc>
        <w:tc>
          <w:tcPr>
            <w:tcW w:w="3545"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41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750"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545"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41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750" w:type="dxa"/>
            <w:tcBorders/>
            <w:vAlign w:val="center"/>
          </w:tcPr>
          <w:p>
            <w:pPr>
              <w:pStyle w:val="TableContents"/>
              <w:shd w:fill="2E3440" w:val="clear"/>
              <w:bidi w:val="0"/>
              <w:spacing w:before="120" w:after="120"/>
              <w:jc w:val="left"/>
              <w:rPr/>
            </w:pPr>
            <w:r>
              <w:rPr/>
              <w:t>a substring of the terminal's title</w:t>
            </w:r>
          </w:p>
        </w:tc>
        <w:tc>
          <w:tcPr>
            <w:tcW w:w="3545"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41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750" w:type="dxa"/>
            <w:tcBorders/>
            <w:vAlign w:val="center"/>
          </w:tcPr>
          <w:p>
            <w:pPr>
              <w:pStyle w:val="TableContents"/>
              <w:shd w:fill="2E3440" w:val="clear"/>
              <w:bidi w:val="0"/>
              <w:spacing w:before="120" w:after="120"/>
              <w:jc w:val="left"/>
              <w:rPr/>
            </w:pPr>
            <w:r>
              <w:rPr>
                <w:rStyle w:val="SourceText"/>
              </w:rPr>
              <w:t>3</w:t>
            </w:r>
          </w:p>
        </w:tc>
        <w:tc>
          <w:tcPr>
            <w:tcW w:w="3545" w:type="dxa"/>
            <w:tcBorders/>
            <w:vAlign w:val="center"/>
          </w:tcPr>
          <w:p>
            <w:pPr>
              <w:pStyle w:val="TableContents"/>
              <w:shd w:fill="2E3440" w:val="clear"/>
              <w:bidi w:val="0"/>
              <w:spacing w:before="120" w:after="120"/>
              <w:jc w:val="left"/>
              <w:rPr/>
            </w:pPr>
            <w:r>
              <w:rPr/>
              <w:t>wait before typing, so the prompt exists</w:t>
            </w:r>
          </w:p>
        </w:tc>
      </w:tr>
      <w:tr>
        <w:trPr/>
        <w:tc>
          <w:tcPr>
            <w:tcW w:w="241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750" w:type="dxa"/>
            <w:tcBorders/>
            <w:vAlign w:val="center"/>
          </w:tcPr>
          <w:p>
            <w:pPr>
              <w:pStyle w:val="TableContents"/>
              <w:shd w:fill="2E3440" w:val="clear"/>
              <w:bidi w:val="0"/>
              <w:spacing w:before="120" w:after="120"/>
              <w:jc w:val="left"/>
              <w:rPr/>
            </w:pPr>
            <w:r>
              <w:rPr>
                <w:rStyle w:val="SourceText"/>
              </w:rPr>
              <w:t>5</w:t>
            </w:r>
          </w:p>
        </w:tc>
        <w:tc>
          <w:tcPr>
            <w:tcW w:w="3545" w:type="dxa"/>
            <w:tcBorders/>
            <w:vAlign w:val="center"/>
          </w:tcPr>
          <w:p>
            <w:pPr>
              <w:pStyle w:val="TableContents"/>
              <w:shd w:fill="2E3440" w:val="clear"/>
              <w:bidi w:val="0"/>
              <w:spacing w:before="120" w:after="120"/>
              <w:jc w:val="left"/>
              <w:rPr/>
            </w:pPr>
            <w:r>
              <w:rPr/>
              <w:t>a shorter handoff counts as a stub</w:t>
            </w:r>
          </w:p>
        </w:tc>
      </w:tr>
      <w:tr>
        <w:trPr/>
        <w:tc>
          <w:tcPr>
            <w:tcW w:w="2419"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750" w:type="dxa"/>
            <w:tcBorders/>
            <w:vAlign w:val="center"/>
          </w:tcPr>
          <w:p>
            <w:pPr>
              <w:pStyle w:val="TableContents"/>
              <w:shd w:fill="2E3440" w:val="clear"/>
              <w:bidi w:val="0"/>
              <w:spacing w:before="120" w:after="120"/>
              <w:jc w:val="left"/>
              <w:rPr/>
            </w:pPr>
            <w:r>
              <w:rPr>
                <w:rStyle w:val="SourceText"/>
              </w:rPr>
              <w:t>false</w:t>
            </w:r>
          </w:p>
        </w:tc>
        <w:tc>
          <w:tcPr>
            <w:tcW w:w="3545"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419"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750" w:type="dxa"/>
            <w:tcBorders/>
            <w:vAlign w:val="center"/>
          </w:tcPr>
          <w:p>
            <w:pPr>
              <w:pStyle w:val="TableContents"/>
              <w:shd w:fill="2E3440" w:val="clear"/>
              <w:bidi w:val="0"/>
              <w:spacing w:before="120" w:after="120"/>
              <w:jc w:val="left"/>
              <w:rPr/>
            </w:pPr>
            <w:r>
              <w:rPr>
                <w:rStyle w:val="SourceText"/>
              </w:rPr>
              <w:t>true</w:t>
            </w:r>
          </w:p>
        </w:tc>
        <w:tc>
          <w:tcPr>
            <w:tcW w:w="3545"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419"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750" w:type="dxa"/>
            <w:tcBorders/>
            <w:vAlign w:val="center"/>
          </w:tcPr>
          <w:p>
            <w:pPr>
              <w:pStyle w:val="TableContents"/>
              <w:shd w:fill="2E3440" w:val="clear"/>
              <w:bidi w:val="0"/>
              <w:spacing w:before="120" w:after="120"/>
              <w:jc w:val="left"/>
              <w:rPr/>
            </w:pPr>
            <w:r>
              <w:rPr>
                <w:rStyle w:val="SourceText"/>
              </w:rPr>
              <w:t>false</w:t>
            </w:r>
          </w:p>
        </w:tc>
        <w:tc>
          <w:tcPr>
            <w:tcW w:w="3545"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419"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context.autoClear.wrapUp</w:t>
            </w:r>
          </w:p>
        </w:tc>
        <w:tc>
          <w:tcPr>
            <w:tcW w:w="1750" w:type="dxa"/>
            <w:tcBorders/>
            <w:vAlign w:val="center"/>
          </w:tcPr>
          <w:p>
            <w:pPr>
              <w:pStyle w:val="TableContents"/>
              <w:shd w:fill="2E3440" w:val="clear"/>
              <w:bidi w:val="0"/>
              <w:spacing w:before="120" w:after="120"/>
              <w:jc w:val="left"/>
              <w:rPr/>
            </w:pPr>
            <w:r>
              <w:rPr>
                <w:rStyle w:val="SourceText"/>
              </w:rPr>
              <w:t>true</w:t>
            </w:r>
          </w:p>
        </w:tc>
        <w:tc>
          <w:tcPr>
            <w:tcW w:w="3545"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419"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750" w:type="dxa"/>
            <w:tcBorders/>
            <w:vAlign w:val="center"/>
          </w:tcPr>
          <w:p>
            <w:pPr>
              <w:pStyle w:val="TableContents"/>
              <w:shd w:fill="2E3440" w:val="clear"/>
              <w:bidi w:val="0"/>
              <w:spacing w:before="120" w:after="120"/>
              <w:jc w:val="left"/>
              <w:rPr/>
            </w:pPr>
            <w:r>
              <w:rPr>
                <w:rStyle w:val="SourceText"/>
              </w:rPr>
              <w:t>false</w:t>
            </w:r>
          </w:p>
        </w:tc>
        <w:tc>
          <w:tcPr>
            <w:tcW w:w="3545"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419"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750" w:type="dxa"/>
            <w:tcBorders/>
            <w:vAlign w:val="center"/>
          </w:tcPr>
          <w:p>
            <w:pPr>
              <w:pStyle w:val="TableContents"/>
              <w:shd w:fill="2E3440" w:val="clear"/>
              <w:bidi w:val="0"/>
              <w:spacing w:before="120" w:after="120"/>
              <w:jc w:val="left"/>
              <w:rPr/>
            </w:pPr>
            <w:r>
              <w:rPr>
                <w:rStyle w:val="SourceText"/>
              </w:rPr>
              <w:t>false</w:t>
            </w:r>
          </w:p>
        </w:tc>
        <w:tc>
          <w:tcPr>
            <w:tcW w:w="3545" w:type="dxa"/>
            <w:tcBorders/>
            <w:vAlign w:val="center"/>
          </w:tcPr>
          <w:p>
            <w:pPr>
              <w:pStyle w:val="TableContents"/>
              <w:shd w:fill="2E3440" w:val="clear"/>
              <w:bidi w:val="0"/>
              <w:spacing w:before="120" w:after="120"/>
              <w:jc w:val="left"/>
              <w:rPr/>
            </w:pPr>
            <w:r>
              <w:rPr/>
              <w:t>turns off the whole context watcher, wrap-up included</w:t>
            </w:r>
          </w:p>
        </w:tc>
      </w:tr>
      <w:tr>
        <w:trPr/>
        <w:tc>
          <w:tcPr>
            <w:tcW w:w="2419"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750" w:type="dxa"/>
            <w:tcBorders/>
            <w:vAlign w:val="center"/>
          </w:tcPr>
          <w:p>
            <w:pPr>
              <w:pStyle w:val="TableContents"/>
              <w:shd w:fill="2E3440" w:val="clear"/>
              <w:bidi w:val="0"/>
              <w:spacing w:before="120" w:after="120"/>
              <w:jc w:val="left"/>
              <w:rPr/>
            </w:pPr>
            <w:r>
              <w:rPr>
                <w:rStyle w:val="SourceText"/>
              </w:rPr>
              <w:t>false</w:t>
            </w:r>
          </w:p>
        </w:tc>
        <w:tc>
          <w:tcPr>
            <w:tcW w:w="3545"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8" w:name="armed-wrap-up-contextautoclearwrapup"/>
      <w:bookmarkEnd w:id="18"/>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24"/>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24"/>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24"/>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24"/>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19" w:name="arming-one-scratch-repo-while-other-sess"/>
      <w:bookmarkEnd w:id="19"/>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1253" w:type="dxa"/>
        <w:jc w:val="left"/>
        <w:tblInd w:w="0" w:type="dxa"/>
        <w:tblLayout w:type="fixed"/>
        <w:tblCellMar>
          <w:top w:w="28" w:type="dxa"/>
          <w:left w:w="28" w:type="dxa"/>
          <w:bottom w:w="28" w:type="dxa"/>
          <w:right w:w="28" w:type="dxa"/>
        </w:tblCellMar>
      </w:tblPr>
      <w:tblGrid>
        <w:gridCol w:w="3751"/>
        <w:gridCol w:w="3091"/>
        <w:gridCol w:w="4411"/>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3091" w:type="dxa"/>
            <w:tcBorders/>
            <w:vAlign w:val="center"/>
          </w:tcPr>
          <w:p>
            <w:pPr>
              <w:pStyle w:val="TableHeading"/>
              <w:suppressLineNumbers/>
              <w:shd w:fill="434C5E" w:val="clear"/>
              <w:bidi w:val="0"/>
              <w:spacing w:before="120" w:after="120"/>
              <w:jc w:val="left"/>
              <w:rPr/>
            </w:pPr>
            <w:r>
              <w:rPr/>
              <w:t>Value</w:t>
            </w:r>
          </w:p>
        </w:tc>
        <w:tc>
          <w:tcPr>
            <w:tcW w:w="4411"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3091" w:type="dxa"/>
            <w:tcBorders/>
            <w:vAlign w:val="center"/>
          </w:tcPr>
          <w:p>
            <w:pPr>
              <w:pStyle w:val="TableContents"/>
              <w:shd w:fill="2E3440" w:val="clear"/>
              <w:bidi w:val="0"/>
              <w:spacing w:before="120" w:after="120"/>
              <w:jc w:val="left"/>
              <w:rPr/>
            </w:pPr>
            <w:r>
              <w:rPr/>
              <w:t>list of absolute repo paths</w:t>
            </w:r>
          </w:p>
        </w:tc>
        <w:tc>
          <w:tcPr>
            <w:tcW w:w="4411"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3091" w:type="dxa"/>
            <w:tcBorders/>
            <w:vAlign w:val="center"/>
          </w:tcPr>
          <w:p>
            <w:pPr>
              <w:pStyle w:val="TableContents"/>
              <w:shd w:fill="2E3440" w:val="clear"/>
              <w:bidi w:val="0"/>
              <w:spacing w:before="120" w:after="120"/>
              <w:jc w:val="left"/>
              <w:rPr/>
            </w:pPr>
            <w:r>
              <w:rPr/>
              <w:t>list of session ids</w:t>
            </w:r>
          </w:p>
        </w:tc>
        <w:tc>
          <w:tcPr>
            <w:tcW w:w="4411"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5"/>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5"/>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5"/>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5"/>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5"/>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5"/>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20" w:name="which-method-and-what-it-does"/>
      <w:bookmarkEnd w:id="20"/>
      <w:r>
        <w:rPr/>
        <w:t>Which Method, and What It Does</w:t>
      </w:r>
    </w:p>
    <w:tbl>
      <w:tblPr>
        <w:tblW w:w="11810" w:type="dxa"/>
        <w:jc w:val="left"/>
        <w:tblInd w:w="0" w:type="dxa"/>
        <w:tblLayout w:type="fixed"/>
        <w:tblCellMar>
          <w:top w:w="28" w:type="dxa"/>
          <w:left w:w="28" w:type="dxa"/>
          <w:bottom w:w="28" w:type="dxa"/>
          <w:right w:w="28" w:type="dxa"/>
        </w:tblCellMar>
      </w:tblPr>
      <w:tblGrid>
        <w:gridCol w:w="1186"/>
        <w:gridCol w:w="8255"/>
        <w:gridCol w:w="2369"/>
      </w:tblGrid>
      <w:tr>
        <w:trPr>
          <w:tblHeader w:val="true"/>
        </w:trPr>
        <w:tc>
          <w:tcPr>
            <w:tcW w:w="1186" w:type="dxa"/>
            <w:tcBorders/>
            <w:vAlign w:val="center"/>
          </w:tcPr>
          <w:p>
            <w:pPr>
              <w:pStyle w:val="TableHeading"/>
              <w:suppressLineNumbers/>
              <w:shd w:fill="434C5E" w:val="clear"/>
              <w:bidi w:val="0"/>
              <w:spacing w:before="120" w:after="120"/>
              <w:jc w:val="left"/>
              <w:rPr/>
            </w:pPr>
            <w:r>
              <w:rPr/>
              <w:t>Method</w:t>
            </w:r>
          </w:p>
        </w:tc>
        <w:tc>
          <w:tcPr>
            <w:tcW w:w="8255" w:type="dxa"/>
            <w:tcBorders/>
            <w:vAlign w:val="center"/>
          </w:tcPr>
          <w:p>
            <w:pPr>
              <w:pStyle w:val="TableHeading"/>
              <w:suppressLineNumbers/>
              <w:shd w:fill="434C5E" w:val="clear"/>
              <w:bidi w:val="0"/>
              <w:spacing w:before="120" w:after="120"/>
              <w:jc w:val="left"/>
              <w:rPr/>
            </w:pPr>
            <w:r>
              <w:rPr/>
              <w:t>What it does</w:t>
            </w:r>
          </w:p>
        </w:tc>
        <w:tc>
          <w:tcPr>
            <w:tcW w:w="2369"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6" w:type="dxa"/>
            <w:tcBorders/>
            <w:vAlign w:val="center"/>
          </w:tcPr>
          <w:p>
            <w:pPr>
              <w:pStyle w:val="TableContents"/>
              <w:shd w:fill="2E3440" w:val="clear"/>
              <w:bidi w:val="0"/>
              <w:spacing w:before="120" w:after="120"/>
              <w:jc w:val="left"/>
              <w:rPr/>
            </w:pPr>
            <w:r>
              <w:rPr>
                <w:rStyle w:val="SourceText"/>
              </w:rPr>
              <w:t>tmux</w:t>
            </w:r>
          </w:p>
        </w:tc>
        <w:tc>
          <w:tcPr>
            <w:tcW w:w="8255"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2369"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6" w:type="dxa"/>
            <w:tcBorders/>
            <w:vAlign w:val="center"/>
          </w:tcPr>
          <w:p>
            <w:pPr>
              <w:pStyle w:val="TableContents"/>
              <w:shd w:fill="2E3440" w:val="clear"/>
              <w:bidi w:val="0"/>
              <w:spacing w:before="120" w:after="120"/>
              <w:jc w:val="left"/>
              <w:rPr/>
            </w:pPr>
            <w:r>
              <w:rPr>
                <w:rStyle w:val="SourceText"/>
              </w:rPr>
              <w:t>xdotool</w:t>
            </w:r>
          </w:p>
        </w:tc>
        <w:tc>
          <w:tcPr>
            <w:tcW w:w="8255"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2369"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6" w:type="dxa"/>
            <w:tcBorders/>
            <w:vAlign w:val="center"/>
          </w:tcPr>
          <w:p>
            <w:pPr>
              <w:pStyle w:val="TableContents"/>
              <w:shd w:fill="2E3440" w:val="clear"/>
              <w:bidi w:val="0"/>
              <w:spacing w:before="120" w:after="120"/>
              <w:jc w:val="left"/>
              <w:rPr/>
            </w:pPr>
            <w:r>
              <w:rPr>
                <w:rStyle w:val="SourceText"/>
              </w:rPr>
              <w:t>notify</w:t>
            </w:r>
          </w:p>
        </w:tc>
        <w:tc>
          <w:tcPr>
            <w:tcW w:w="8255"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369"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6" w:type="dxa"/>
            <w:tcBorders/>
            <w:vAlign w:val="center"/>
          </w:tcPr>
          <w:p>
            <w:pPr>
              <w:pStyle w:val="TableContents"/>
              <w:shd w:fill="2E3440" w:val="clear"/>
              <w:bidi w:val="0"/>
              <w:spacing w:before="120" w:after="120"/>
              <w:jc w:val="left"/>
              <w:rPr/>
            </w:pPr>
            <w:r>
              <w:rPr>
                <w:rStyle w:val="SourceText"/>
              </w:rPr>
              <w:t>sendkeys</w:t>
            </w:r>
          </w:p>
        </w:tc>
        <w:tc>
          <w:tcPr>
            <w:tcW w:w="8255"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of this session's own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369" w:type="dxa"/>
            <w:tcBorders/>
            <w:vAlign w:val="center"/>
          </w:tcPr>
          <w:p>
            <w:pPr>
              <w:pStyle w:val="TableContents"/>
              <w:shd w:fill="2E3440" w:val="clear"/>
              <w:bidi w:val="0"/>
              <w:spacing w:before="120" w:after="120"/>
              <w:jc w:val="left"/>
              <w:rPr/>
            </w:pPr>
            <w:r>
              <w:rPr/>
              <w:t>never (opt-in only)</w:t>
            </w:r>
          </w:p>
        </w:tc>
      </w:tr>
      <w:tr>
        <w:trPr/>
        <w:tc>
          <w:tcPr>
            <w:tcW w:w="1186" w:type="dxa"/>
            <w:tcBorders/>
            <w:vAlign w:val="center"/>
          </w:tcPr>
          <w:p>
            <w:pPr>
              <w:pStyle w:val="TableContents"/>
              <w:shd w:fill="2E3440" w:val="clear"/>
              <w:bidi w:val="0"/>
              <w:spacing w:before="120" w:after="120"/>
              <w:jc w:val="left"/>
              <w:rPr/>
            </w:pPr>
            <w:r>
              <w:rPr>
                <w:rStyle w:val="SourceText"/>
              </w:rPr>
              <w:t>none</w:t>
            </w:r>
          </w:p>
        </w:tc>
        <w:tc>
          <w:tcPr>
            <w:tcW w:w="8255" w:type="dxa"/>
            <w:tcBorders/>
            <w:vAlign w:val="center"/>
          </w:tcPr>
          <w:p>
            <w:pPr>
              <w:pStyle w:val="TableContents"/>
              <w:shd w:fill="2E3440" w:val="clear"/>
              <w:bidi w:val="0"/>
              <w:spacing w:before="120" w:after="120"/>
              <w:jc w:val="left"/>
              <w:rPr/>
            </w:pPr>
            <w:r>
              <w:rPr/>
              <w:t>Refused outright.</w:t>
            </w:r>
          </w:p>
        </w:tc>
        <w:tc>
          <w:tcPr>
            <w:tcW w:w="2369"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21" w:name="when-it-will-not-clear-or-notify"/>
      <w:bookmarkEnd w:id="21"/>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810" w:type="dxa"/>
        <w:jc w:val="left"/>
        <w:tblInd w:w="0" w:type="dxa"/>
        <w:tblLayout w:type="fixed"/>
        <w:tblCellMar>
          <w:top w:w="28" w:type="dxa"/>
          <w:left w:w="28" w:type="dxa"/>
          <w:bottom w:w="28" w:type="dxa"/>
          <w:right w:w="28" w:type="dxa"/>
        </w:tblCellMar>
      </w:tblPr>
      <w:tblGrid>
        <w:gridCol w:w="5238"/>
        <w:gridCol w:w="6572"/>
      </w:tblGrid>
      <w:tr>
        <w:trPr>
          <w:tblHeader w:val="true"/>
        </w:trPr>
        <w:tc>
          <w:tcPr>
            <w:tcW w:w="5238" w:type="dxa"/>
            <w:tcBorders/>
            <w:vAlign w:val="center"/>
          </w:tcPr>
          <w:p>
            <w:pPr>
              <w:pStyle w:val="TableHeading"/>
              <w:suppressLineNumbers/>
              <w:shd w:fill="434C5E" w:val="clear"/>
              <w:bidi w:val="0"/>
              <w:spacing w:before="120" w:after="120"/>
              <w:jc w:val="left"/>
              <w:rPr/>
            </w:pPr>
            <w:r>
              <w:rPr/>
              <w:t>Log says</w:t>
            </w:r>
          </w:p>
        </w:tc>
        <w:tc>
          <w:tcPr>
            <w:tcW w:w="6572" w:type="dxa"/>
            <w:tcBorders/>
            <w:vAlign w:val="center"/>
          </w:tcPr>
          <w:p>
            <w:pPr>
              <w:pStyle w:val="TableHeading"/>
              <w:suppressLineNumbers/>
              <w:shd w:fill="434C5E" w:val="clear"/>
              <w:bidi w:val="0"/>
              <w:spacing w:before="120" w:after="120"/>
              <w:jc w:val="left"/>
              <w:rPr/>
            </w:pPr>
            <w:r>
              <w:rPr/>
              <w:t>Meaning</w:t>
            </w:r>
          </w:p>
        </w:tc>
      </w:tr>
      <w:tr>
        <w:trPr/>
        <w:tc>
          <w:tcPr>
            <w:tcW w:w="5238"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6572"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238" w:type="dxa"/>
            <w:tcBorders/>
            <w:vAlign w:val="center"/>
          </w:tcPr>
          <w:p>
            <w:pPr>
              <w:pStyle w:val="TableContents"/>
              <w:shd w:fill="2E3440" w:val="clear"/>
              <w:bidi w:val="0"/>
              <w:spacing w:before="120" w:after="120"/>
              <w:jc w:val="left"/>
              <w:rPr/>
            </w:pPr>
            <w:r>
              <w:rPr>
                <w:rStyle w:val="SourceText"/>
              </w:rPr>
              <w:t>not trustworthy (unknown-window)</w:t>
            </w:r>
          </w:p>
        </w:tc>
        <w:tc>
          <w:tcPr>
            <w:tcW w:w="6572"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238"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6572" w:type="dxa"/>
            <w:tcBorders/>
            <w:vAlign w:val="center"/>
          </w:tcPr>
          <w:p>
            <w:pPr>
              <w:pStyle w:val="TableContents"/>
              <w:shd w:fill="2E3440" w:val="clear"/>
              <w:bidi w:val="0"/>
              <w:spacing w:before="120" w:after="120"/>
              <w:jc w:val="left"/>
              <w:rPr/>
            </w:pPr>
            <w:r>
              <w:rPr/>
              <w:t>the last reading came from before a compaction</w:t>
            </w:r>
          </w:p>
        </w:tc>
      </w:tr>
      <w:tr>
        <w:trPr/>
        <w:tc>
          <w:tcPr>
            <w:tcW w:w="5238" w:type="dxa"/>
            <w:tcBorders/>
            <w:vAlign w:val="center"/>
          </w:tcPr>
          <w:p>
            <w:pPr>
              <w:pStyle w:val="TableContents"/>
              <w:shd w:fill="2E3440" w:val="clear"/>
              <w:bidi w:val="0"/>
              <w:spacing w:before="120" w:after="120"/>
              <w:jc w:val="left"/>
              <w:rPr/>
            </w:pPr>
            <w:r>
              <w:rPr>
                <w:rStyle w:val="SourceText"/>
              </w:rPr>
              <w:t>the wrap-up marker is empty or not JSON</w:t>
            </w:r>
          </w:p>
        </w:tc>
        <w:tc>
          <w:tcPr>
            <w:tcW w:w="6572"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238" w:type="dxa"/>
            <w:tcBorders/>
            <w:vAlign w:val="center"/>
          </w:tcPr>
          <w:p>
            <w:pPr>
              <w:pStyle w:val="TableContents"/>
              <w:shd w:fill="2E3440" w:val="clear"/>
              <w:bidi w:val="0"/>
              <w:spacing w:before="120" w:after="120"/>
              <w:jc w:val="left"/>
              <w:rPr/>
            </w:pPr>
            <w:r>
              <w:rPr>
                <w:rStyle w:val="SourceText"/>
              </w:rPr>
              <w:t>predates this session's wrap-up request</w:t>
            </w:r>
          </w:p>
        </w:tc>
        <w:tc>
          <w:tcPr>
            <w:tcW w:w="6572"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238" w:type="dxa"/>
            <w:tcBorders/>
            <w:vAlign w:val="center"/>
          </w:tcPr>
          <w:p>
            <w:pPr>
              <w:pStyle w:val="TableContents"/>
              <w:shd w:fill="2E3440" w:val="clear"/>
              <w:bidi w:val="0"/>
              <w:spacing w:before="120" w:after="120"/>
              <w:jc w:val="left"/>
              <w:rPr/>
            </w:pPr>
            <w:r>
              <w:rPr>
                <w:rStyle w:val="SourceText"/>
              </w:rPr>
              <w:t>automatic PreCompact skeleton</w:t>
            </w:r>
          </w:p>
        </w:tc>
        <w:tc>
          <w:tcPr>
            <w:tcW w:w="6572"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238"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6572"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238"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6572"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238"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6572"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238"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6572"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238"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6572"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238"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6572"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238"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6572"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238"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6572"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238"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6572"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238" w:type="dxa"/>
            <w:tcBorders/>
            <w:vAlign w:val="center"/>
          </w:tcPr>
          <w:p>
            <w:pPr>
              <w:pStyle w:val="TableContents"/>
              <w:shd w:fill="2E3440" w:val="clear"/>
              <w:bidi w:val="0"/>
              <w:spacing w:before="120" w:after="120"/>
              <w:jc w:val="left"/>
              <w:rPr/>
            </w:pPr>
            <w:r>
              <w:rPr>
                <w:rStyle w:val="SourceText"/>
              </w:rPr>
              <w:t>tmux pane %N could not be confirmed</w:t>
            </w:r>
          </w:p>
        </w:tc>
        <w:tc>
          <w:tcPr>
            <w:tcW w:w="6572"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238" w:type="dxa"/>
            <w:tcBorders/>
            <w:vAlign w:val="center"/>
          </w:tcPr>
          <w:p>
            <w:pPr>
              <w:pStyle w:val="TableContents"/>
              <w:shd w:fill="2E3440" w:val="clear"/>
              <w:bidi w:val="0"/>
              <w:spacing w:before="120" w:after="120"/>
              <w:jc w:val="left"/>
              <w:rPr/>
            </w:pPr>
            <w:r>
              <w:rPr>
                <w:rStyle w:val="SourceText"/>
              </w:rPr>
              <w:t>method wtype ... is refused</w:t>
            </w:r>
          </w:p>
        </w:tc>
        <w:tc>
          <w:tcPr>
            <w:tcW w:w="6572"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238" w:type="dxa"/>
            <w:tcBorders/>
            <w:vAlign w:val="center"/>
          </w:tcPr>
          <w:p>
            <w:pPr>
              <w:pStyle w:val="TableContents"/>
              <w:shd w:fill="2E3440" w:val="clear"/>
              <w:bidi w:val="0"/>
              <w:spacing w:before="120" w:after="120"/>
              <w:jc w:val="left"/>
              <w:rPr/>
            </w:pPr>
            <w:r>
              <w:rPr>
                <w:rStyle w:val="SourceText"/>
              </w:rPr>
              <w:t>sent - method notify</w:t>
            </w:r>
          </w:p>
        </w:tc>
        <w:tc>
          <w:tcPr>
            <w:tcW w:w="6572"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238"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6572"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238"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6572"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2" w:name="which-window-gets-the-keystroke"/>
      <w:bookmarkEnd w:id="22"/>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26"/>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26"/>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p>
      <w:pPr>
        <w:pStyle w:val="BodyText"/>
        <w:numPr>
          <w:ilvl w:val="0"/>
          <w:numId w:val="26"/>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