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contracts-between-two-sessions"/>
      <w:bookmarkEnd w:id="5"/>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6" w:name="if-something-refuses"/>
      <w:bookmarkEnd w:id="6"/>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7" w:name="scope-and-approval"/>
      <w:bookmarkEnd w:id="7"/>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8" w:name="the-contract"/>
      <w:bookmarkEnd w:id="8"/>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9" w:name="approval"/>
      <w:bookmarkEnd w:id="9"/>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0" w:name="while-you-implement-the-scope-guard"/>
      <w:bookmarkEnd w:id="10"/>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1" w:name="at-the-end-of-a-turn-the-completion-audi"/>
      <w:bookmarkEnd w:id="11"/>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2" w:name="amending-scope"/>
      <w:bookmarkEnd w:id="12"/>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3" w:name="after-two-review-rounds-a-successor-plan"/>
      <w:bookmarkEnd w:id="13"/>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4" w:name="modes"/>
      <w:bookmarkEnd w:id="14"/>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5" w:name="which-ticket-is-active"/>
      <w:bookmarkEnd w:id="15"/>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