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7248"/>
        <w:gridCol w:w="2677"/>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7248" w:type="dxa"/>
            <w:tcBorders/>
            <w:vAlign w:val="center"/>
          </w:tcPr>
          <w:p>
            <w:pPr>
              <w:pStyle w:val="TableHeading"/>
              <w:suppressLineNumbers/>
              <w:shd w:fill="434C5E" w:val="clear"/>
              <w:bidi w:val="0"/>
              <w:spacing w:before="120" w:after="120"/>
              <w:jc w:val="left"/>
              <w:rPr/>
            </w:pPr>
            <w:r>
              <w:rPr/>
              <w:t>What it does</w:t>
            </w:r>
          </w:p>
        </w:tc>
        <w:tc>
          <w:tcPr>
            <w:tcW w:w="2677"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7248" w:type="dxa"/>
            <w:tcBorders/>
            <w:vAlign w:val="center"/>
          </w:tcPr>
          <w:p>
            <w:pPr>
              <w:pStyle w:val="TableContents"/>
              <w:shd w:fill="2E3440" w:val="clear"/>
              <w:bidi w:val="0"/>
              <w:spacing w:before="120" w:after="120"/>
              <w:jc w:val="left"/>
              <w:rPr/>
            </w:pPr>
            <w:r>
              <w:rPr/>
              <w:t>Maps the code a ticket touches</w:t>
            </w:r>
          </w:p>
        </w:tc>
        <w:tc>
          <w:tcPr>
            <w:tcW w:w="2677" w:type="dxa"/>
            <w:tcBorders/>
            <w:vAlign w:val="center"/>
          </w:tcPr>
          <w:p>
            <w:pPr>
              <w:pStyle w:val="TableContents"/>
              <w:shd w:fill="2E3440" w:val="clear"/>
              <w:bidi w:val="0"/>
              <w:spacing w:before="120" w:after="120"/>
              <w:jc w:val="left"/>
              <w:rPr/>
            </w:pPr>
            <w:r>
              <w:rPr/>
              <w:t>No Write, Edit or Bash</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7248"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7"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7248" w:type="dxa"/>
            <w:tcBorders/>
            <w:vAlign w:val="center"/>
          </w:tcPr>
          <w:p>
            <w:pPr>
              <w:pStyle w:val="TableContents"/>
              <w:shd w:fill="2E3440" w:val="clear"/>
              <w:bidi w:val="0"/>
              <w:spacing w:before="120" w:after="120"/>
              <w:jc w:val="left"/>
              <w:rPr/>
            </w:pPr>
            <w:r>
              <w:rPr/>
              <w:t>Read-only review of risky changes</w:t>
            </w:r>
          </w:p>
        </w:tc>
        <w:tc>
          <w:tcPr>
            <w:tcW w:w="2677"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7248" w:type="dxa"/>
            <w:tcBorders/>
            <w:vAlign w:val="center"/>
          </w:tcPr>
          <w:p>
            <w:pPr>
              <w:pStyle w:val="TableContents"/>
              <w:shd w:fill="2E3440" w:val="clear"/>
              <w:bidi w:val="0"/>
              <w:spacing w:before="120" w:after="120"/>
              <w:jc w:val="left"/>
              <w:rPr/>
            </w:pPr>
            <w:r>
              <w:rPr/>
              <w:t>Reads external sources only</w:t>
            </w:r>
          </w:p>
        </w:tc>
        <w:tc>
          <w:tcPr>
            <w:tcW w:w="2677"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stays the file crew reads its settings from.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