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1-the-full-guide"/>
      <w:bookmarkEnd w:id="0"/>
      <w:r>
        <w:rPr/>
        <w:t>Crew 1.1 - the Full Guide</w:t>
      </w:r>
    </w:p>
    <w:p>
      <w:pPr>
        <w:pStyle w:val="BodyText"/>
        <w:bidi w:val="0"/>
        <w:jc w:val="left"/>
        <w:rPr/>
      </w:pPr>
      <w:r>
        <w:rPr/>
        <w:t xml:space="preserve">This guide explains the whole of crew 1.1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1.1 ships four agents. Each one exists because it buys something a prompt cannot: an isolated context window, a restricted tool set, or independent eyes.</w:t>
      </w:r>
    </w:p>
    <w:tbl>
      <w:tblPr>
        <w:tblW w:w="3783" w:type="dxa"/>
        <w:jc w:val="left"/>
        <w:tblInd w:w="0" w:type="dxa"/>
        <w:tblLayout w:type="fixed"/>
        <w:tblCellMar>
          <w:top w:w="28" w:type="dxa"/>
          <w:left w:w="28" w:type="dxa"/>
          <w:bottom w:w="28" w:type="dxa"/>
          <w:right w:w="28" w:type="dxa"/>
        </w:tblCellMar>
      </w:tblPr>
      <w:tblGrid>
        <w:gridCol w:w="1411"/>
        <w:gridCol w:w="1306"/>
        <w:gridCol w:w="1066"/>
      </w:tblGrid>
      <w:tr>
        <w:trPr>
          <w:tblHeader w:val="true"/>
        </w:trPr>
        <w:tc>
          <w:tcPr>
            <w:tcW w:w="1411" w:type="dxa"/>
            <w:tcBorders/>
            <w:vAlign w:val="center"/>
          </w:tcPr>
          <w:p>
            <w:pPr>
              <w:pStyle w:val="TableHeading"/>
              <w:suppressLineNumbers/>
              <w:shd w:fill="434C5E" w:val="clear"/>
              <w:bidi w:val="0"/>
              <w:spacing w:before="120" w:after="120"/>
              <w:jc w:val="left"/>
              <w:rPr/>
            </w:pPr>
            <w:r>
              <w:rPr/>
              <w:t>Role</w:t>
            </w:r>
          </w:p>
        </w:tc>
        <w:tc>
          <w:tcPr>
            <w:tcW w:w="1306" w:type="dxa"/>
            <w:tcBorders/>
            <w:vAlign w:val="center"/>
          </w:tcPr>
          <w:p>
            <w:pPr>
              <w:pStyle w:val="TableHeading"/>
              <w:suppressLineNumbers/>
              <w:shd w:fill="434C5E" w:val="clear"/>
              <w:bidi w:val="0"/>
              <w:spacing w:before="120" w:after="120"/>
              <w:jc w:val="left"/>
              <w:rPr/>
            </w:pPr>
            <w:r>
              <w:rPr/>
              <w:t>What it does</w:t>
            </w:r>
          </w:p>
        </w:tc>
        <w:tc>
          <w:tcPr>
            <w:tcW w:w="1066" w:type="dxa"/>
            <w:tcBorders/>
            <w:vAlign w:val="center"/>
          </w:tcPr>
          <w:p>
            <w:pPr>
              <w:pStyle w:val="TableHeading"/>
              <w:suppressLineNumbers/>
              <w:shd w:fill="434C5E" w:val="clear"/>
              <w:bidi w:val="0"/>
              <w:spacing w:before="120" w:after="120"/>
              <w:jc w:val="left"/>
              <w:rPr/>
            </w:pPr>
            <w:r>
              <w:rPr/>
              <w:t>What it cannot do</w:t>
            </w:r>
          </w:p>
        </w:tc>
      </w:tr>
      <w:tr>
        <w:trPr/>
        <w:tc>
          <w:tcPr>
            <w:tcW w:w="1411" w:type="dxa"/>
            <w:tcBorders/>
            <w:vAlign w:val="center"/>
          </w:tcPr>
          <w:p>
            <w:pPr>
              <w:pStyle w:val="TableContents"/>
              <w:shd w:fill="2E3440" w:val="clear"/>
              <w:bidi w:val="0"/>
              <w:spacing w:before="120" w:after="120"/>
              <w:jc w:val="left"/>
              <w:rPr/>
            </w:pPr>
            <w:r>
              <w:rPr>
                <w:rStyle w:val="SourceText"/>
              </w:rPr>
              <w:t>explorer</w:t>
            </w:r>
          </w:p>
        </w:tc>
        <w:tc>
          <w:tcPr>
            <w:tcW w:w="1306" w:type="dxa"/>
            <w:tcBorders/>
            <w:vAlign w:val="center"/>
          </w:tcPr>
          <w:p>
            <w:pPr>
              <w:pStyle w:val="TableContents"/>
              <w:shd w:fill="2E3440" w:val="clear"/>
              <w:bidi w:val="0"/>
              <w:spacing w:before="120" w:after="120"/>
              <w:jc w:val="left"/>
              <w:rPr/>
            </w:pPr>
            <w:r>
              <w:rPr/>
              <w:t>Maps the code a ticket touches</w:t>
            </w:r>
          </w:p>
        </w:tc>
        <w:tc>
          <w:tcPr>
            <w:tcW w:w="1066" w:type="dxa"/>
            <w:tcBorders/>
            <w:vAlign w:val="center"/>
          </w:tcPr>
          <w:p>
            <w:pPr>
              <w:pStyle w:val="TableContents"/>
              <w:shd w:fill="2E3440" w:val="clear"/>
              <w:bidi w:val="0"/>
              <w:spacing w:before="120" w:after="120"/>
              <w:jc w:val="left"/>
              <w:rPr/>
            </w:pPr>
            <w:r>
              <w:rPr/>
              <w:t>No Write, Edit or Bash</w:t>
            </w:r>
          </w:p>
        </w:tc>
      </w:tr>
      <w:tr>
        <w:trPr/>
        <w:tc>
          <w:tcPr>
            <w:tcW w:w="1411" w:type="dxa"/>
            <w:tcBorders/>
            <w:vAlign w:val="center"/>
          </w:tcPr>
          <w:p>
            <w:pPr>
              <w:pStyle w:val="TableContents"/>
              <w:shd w:fill="2E3440" w:val="clear"/>
              <w:bidi w:val="0"/>
              <w:spacing w:before="120" w:after="120"/>
              <w:jc w:val="left"/>
              <w:rPr/>
            </w:pPr>
            <w:r>
              <w:rPr>
                <w:rStyle w:val="SourceText"/>
              </w:rPr>
              <w:t>reviewer</w:t>
            </w:r>
          </w:p>
        </w:tc>
        <w:tc>
          <w:tcPr>
            <w:tcW w:w="1306"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1066" w:type="dxa"/>
            <w:tcBorders/>
            <w:vAlign w:val="center"/>
          </w:tcPr>
          <w:p>
            <w:pPr>
              <w:pStyle w:val="TableContents"/>
              <w:shd w:fill="2E3440" w:val="clear"/>
              <w:bidi w:val="0"/>
              <w:spacing w:before="120" w:after="120"/>
              <w:jc w:val="left"/>
              <w:rPr/>
            </w:pPr>
            <w:r>
              <w:rPr/>
              <w:t>Writes nothing to the tree</w:t>
            </w:r>
          </w:p>
        </w:tc>
      </w:tr>
      <w:tr>
        <w:trPr/>
        <w:tc>
          <w:tcPr>
            <w:tcW w:w="1411" w:type="dxa"/>
            <w:tcBorders/>
            <w:vAlign w:val="center"/>
          </w:tcPr>
          <w:p>
            <w:pPr>
              <w:pStyle w:val="TableContents"/>
              <w:shd w:fill="2E3440" w:val="clear"/>
              <w:bidi w:val="0"/>
              <w:spacing w:before="120" w:after="120"/>
              <w:jc w:val="left"/>
              <w:rPr/>
            </w:pPr>
            <w:r>
              <w:rPr>
                <w:rStyle w:val="SourceText"/>
              </w:rPr>
              <w:t>security</w:t>
            </w:r>
          </w:p>
        </w:tc>
        <w:tc>
          <w:tcPr>
            <w:tcW w:w="1306" w:type="dxa"/>
            <w:tcBorders/>
            <w:vAlign w:val="center"/>
          </w:tcPr>
          <w:p>
            <w:pPr>
              <w:pStyle w:val="TableContents"/>
              <w:shd w:fill="2E3440" w:val="clear"/>
              <w:bidi w:val="0"/>
              <w:spacing w:before="120" w:after="120"/>
              <w:jc w:val="left"/>
              <w:rPr/>
            </w:pPr>
            <w:r>
              <w:rPr/>
              <w:t>Read-only review of risky changes</w:t>
            </w:r>
          </w:p>
        </w:tc>
        <w:tc>
          <w:tcPr>
            <w:tcW w:w="1066" w:type="dxa"/>
            <w:tcBorders/>
            <w:vAlign w:val="center"/>
          </w:tcPr>
          <w:p>
            <w:pPr>
              <w:pStyle w:val="TableContents"/>
              <w:shd w:fill="2E3440" w:val="clear"/>
              <w:bidi w:val="0"/>
              <w:spacing w:before="120" w:after="120"/>
              <w:jc w:val="left"/>
              <w:rPr/>
            </w:pPr>
            <w:r>
              <w:rPr/>
              <w:t>No Write or Edit</w:t>
            </w:r>
          </w:p>
        </w:tc>
      </w:tr>
      <w:tr>
        <w:trPr/>
        <w:tc>
          <w:tcPr>
            <w:tcW w:w="1411" w:type="dxa"/>
            <w:tcBorders/>
            <w:vAlign w:val="center"/>
          </w:tcPr>
          <w:p>
            <w:pPr>
              <w:pStyle w:val="TableContents"/>
              <w:shd w:fill="2E3440" w:val="clear"/>
              <w:bidi w:val="0"/>
              <w:spacing w:before="120" w:after="120"/>
              <w:jc w:val="left"/>
              <w:rPr/>
            </w:pPr>
            <w:r>
              <w:rPr>
                <w:rStyle w:val="SourceText"/>
              </w:rPr>
              <w:t>researcher</w:t>
            </w:r>
          </w:p>
        </w:tc>
        <w:tc>
          <w:tcPr>
            <w:tcW w:w="1306" w:type="dxa"/>
            <w:tcBorders/>
            <w:vAlign w:val="center"/>
          </w:tcPr>
          <w:p>
            <w:pPr>
              <w:pStyle w:val="TableContents"/>
              <w:shd w:fill="2E3440" w:val="clear"/>
              <w:bidi w:val="0"/>
              <w:spacing w:before="120" w:after="120"/>
              <w:jc w:val="left"/>
              <w:rPr/>
            </w:pPr>
            <w:r>
              <w:rPr/>
              <w:t>Reads external sources only</w:t>
            </w:r>
          </w:p>
        </w:tc>
        <w:tc>
          <w:tcPr>
            <w:tcW w:w="1066"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t xml:space="preserve">Init also keeps </w:t>
      </w:r>
      <w:r>
        <w:rPr>
          <w:rStyle w:val="SourceText"/>
        </w:rPr>
        <w:t>.gitignore</w:t>
      </w:r>
      <w:r>
        <w:rPr/>
        <w:t xml:space="preserve"> right for the languages it finds: </w:t>
      </w:r>
      <w:r>
        <w:rPr>
          <w:rStyle w:val="SourceText"/>
        </w:rPr>
        <w:t>crew_gitignore.py apply</w:t>
      </w:r>
      <w:r>
        <w:rPr/>
        <w:t xml:space="preserve"> adds the missing patterns, without asking, inside one </w:t>
      </w:r>
      <w:r>
        <w:rPr>
          <w:rStyle w:val="SourceText"/>
        </w:rPr>
        <w:t># crew:gitignore:managed</w:t>
      </w:r>
      <w:r>
        <w:rPr/>
        <w:t xml:space="preserve"> block at the top of </w:t>
      </w:r>
      <w:r>
        <w:rPr>
          <w:rStyle w:val="SourceText"/>
        </w:rPr>
        <w:t>.gitignore</w:t>
      </w:r>
      <w:r>
        <w:rPr/>
        <w:t xml:space="preserve">, and never edits your own lines or untracks a file. A committed secret-shaped file is reported to you instead (exit 3). </w:t>
      </w:r>
      <w:r>
        <w:rPr>
          <w:rStyle w:val="SourceText"/>
        </w:rPr>
        <w:t>/crew:onboard</w:t>
      </w:r>
      <w:r>
        <w:rPr/>
        <w:t xml:space="preserve"> and </w:t>
      </w:r>
      <w:r>
        <w:rPr>
          <w:rStyle w:val="SourceText"/>
        </w:rPr>
        <w:t>/crew:onboard --refresh</w:t>
      </w:r>
      <w:r>
        <w:rPr/>
        <w:t xml:space="preserve"> run the same step, </w:t>
      </w:r>
      <w:r>
        <w:rPr>
          <w:rStyle w:val="SourceText"/>
        </w:rPr>
        <w:t>/crew:implement</w:t>
      </w:r>
      <w:r>
        <w:rPr/>
        <w:t xml:space="preserve"> checks it, and </w:t>
      </w:r>
      <w:r>
        <w:rPr>
          <w:rStyle w:val="SourceText"/>
        </w:rPr>
        <w:t>/crew:status</w:t>
      </w:r>
      <w:r>
        <w:rPr/>
        <w:t xml:space="preserve"> shows it as one </w:t>
      </w:r>
      <w:r>
        <w:rPr>
          <w:rStyle w:val="SourceText"/>
        </w:rPr>
        <w:t>gitignore</w:t>
      </w:r>
      <w:r>
        <w:rPr/>
        <w:t xml:space="preserve"> line.</w:t>
      </w:r>
    </w:p>
    <w:p>
      <w:pPr>
        <w:pStyle w:val="BodyText"/>
        <w:bidi w:val="0"/>
        <w:jc w:val="left"/>
        <w:rPr/>
      </w:pPr>
      <w:r>
        <w:rPr>
          <w:rStyle w:val="SourceText"/>
        </w:rPr>
        <w:t>/crew:migrate</w:t>
      </w:r>
      <w:r>
        <w:rPr/>
        <w:t xml:space="preserve"> moves a crew 0.20 repository to the 1.0 layout,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Every historical metric it cannot recover is written </w:t>
      </w:r>
      <w:r>
        <w:rPr>
          <w:rStyle w:val="SourceText"/>
        </w:rPr>
        <w:t>UNKNOWN</w:t>
      </w:r>
      <w:r>
        <w:rPr/>
        <w:t xml:space="preserve">, never </w:t>
      </w:r>
      <w:r>
        <w:rPr>
          <w:rStyle w:val="SourceText"/>
        </w:rPr>
        <w:t>0</w:t>
      </w:r>
      <w:r>
        <w:rPr/>
        <w:t xml:space="preserve">. A config older than 0.20 (no </w:t>
      </w:r>
      <w:r>
        <w:rPr>
          <w:rStyle w:val="SourceText"/>
        </w:rPr>
        <w:t>schema</w:t>
      </w:r>
      <w:r>
        <w:rPr/>
        <w:t xml:space="preserve">, or 1-6) is upgraded by </w:t>
      </w:r>
      <w:r>
        <w:rPr>
          <w:rStyle w:val="SourceText"/>
        </w:rPr>
        <w:t>/crew:migrate</w:t>
      </w:r>
      <w:r>
        <w:rPr/>
        <w:t xml:space="preserve"> itself in the same run; </w:t>
      </w:r>
      <w:r>
        <w:rPr>
          <w:rStyle w:val="SourceText"/>
        </w:rPr>
        <w:t>/crew:upgrade</w:t>
      </w:r>
      <w:r>
        <w:rPr/>
        <w:t xml:space="preserve"> was removed.</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the generated </w:t>
      </w:r>
      <w:r>
        <w:rPr>
          <w:rStyle w:val="SourceText"/>
        </w:rPr>
        <w:t>.claude/rules/</w:t>
      </w:r>
      <w:r>
        <w:rPr/>
        <w:t xml:space="preserve">, and the integrations reference (docs/reference/integrations.md) that </w:t>
      </w:r>
      <w:r>
        <w:rPr>
          <w:rStyle w:val="SourceText"/>
        </w:rPr>
        <w:t>/crew:reference --integrations</w:t>
      </w:r>
      <w:r>
        <w:rPr/>
        <w:t xml:space="preserve"> writes.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w:t>
      </w:r>
      <w:r>
        <w:rPr>
          <w:rStyle w:val="SourceText"/>
        </w:rPr>
        <w:t>/crew:reference --integrations</w:t>
      </w:r>
      <w:r>
        <w:rPr/>
        <w:t xml:space="preserve"> or </w:t>
      </w:r>
      <w:r>
        <w:rPr>
          <w:rStyle w:val="SourceText"/>
        </w:rPr>
        <w:t>/crew:graph --refresh</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that a rollback is declared, that a person approved it when </w:t>
      </w:r>
      <w:r>
        <w:rPr>
          <w:rStyle w:val="SourceText"/>
        </w:rPr>
        <w:t>requireHuman</w:t>
      </w:r>
      <w:r>
        <w:rPr/>
        <w:t xml:space="preserve"> is set, and that the tree is clean.</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 xml:space="preserve"> (one ticket per run) or </w:t>
      </w:r>
      <w:r>
        <w:rPr>
          <w:rStyle w:val="SourceText"/>
        </w:rPr>
        <w:t>backlog</w:t>
      </w:r>
      <w:r>
        <w:rPr/>
        <w:t xml:space="preserve">. </w:t>
      </w:r>
      <w:r>
        <w:rPr>
          <w:rStyle w:val="SourceText"/>
        </w:rPr>
        <w:t>/crew:autopilot --goal &lt;slug&gt;</w:t>
      </w:r>
      <w:r>
        <w:rPr/>
        <w:t xml:space="preserve"> works a goal's minted tickets one at a time in dependency order, each through its own approval; </w:t>
      </w:r>
      <w:r>
        <w:rPr>
          <w:rStyle w:val="SourceText"/>
        </w:rPr>
        <w:t>backlog</w:t>
      </w:r>
      <w:r>
        <w:rPr/>
        <w:t xml:space="preserve"> goes on to the next ticket while </w:t>
      </w:r>
      <w:r>
        <w:rPr>
          <w:rStyle w:val="SourceText"/>
        </w:rPr>
        <w:t>autopilot.maxTicketsPerRun</w:t>
      </w:r>
      <w:r>
        <w:rPr/>
        <w:t xml:space="preserve"> (3) and </w:t>
      </w:r>
      <w:r>
        <w:rPr>
          <w:rStyle w:val="SourceText"/>
        </w:rPr>
        <w:t>autopilot.maxTokensPerSession</w:t>
      </w:r>
      <w:r>
        <w:rPr/>
        <w:t xml:space="preserve"> (2,000,000) allow, and every stop prints </w:t>
      </w:r>
      <w:r>
        <w:rPr>
          <w:rStyle w:val="SourceText"/>
        </w:rPr>
        <w:t>resume: /crew:autopilot --goal &lt;slug&gt;</w:t>
      </w:r>
      <w:r>
        <w:rPr/>
        <w:t xml:space="preserve"> (L-0541).</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an open question does not.</w:t>
      </w:r>
    </w:p>
    <w:p>
      <w:pPr>
        <w:pStyle w:val="BodyText"/>
        <w:bidi w:val="0"/>
        <w:jc w:val="left"/>
        <w:rPr/>
      </w:pPr>
      <w:r>
        <w:rPr/>
        <w:t xml:space="preserve">After done, autopilot ships the ticket (since crew 1.0.349). </w:t>
      </w:r>
      <w:r>
        <w:rPr>
          <w:rStyle w:val="SourceText"/>
        </w:rPr>
        <w:t>autopilot.ship</w:t>
      </w:r>
      <w:r>
        <w:rPr/>
        <w:t xml:space="preserve"> set to </w:t>
      </w:r>
      <w:r>
        <w:rPr>
          <w:rStyle w:val="SourceText"/>
        </w:rPr>
        <w:t>pr</w:t>
      </w:r>
      <w:r>
        <w:rPr/>
        <w:t xml:space="preserve"> pushes the branch and opens a pull request, then stops for a person to merge. Set to </w:t>
      </w:r>
      <w:r>
        <w:rPr>
          <w:rStyle w:val="SourceText"/>
        </w:rPr>
        <w:t>merge</w:t>
      </w:r>
      <w:r>
        <w:rPr/>
        <w:t xml:space="preserve">, the default, it also merges once every required check passes, or fails under a name listed exactly in </w:t>
      </w:r>
      <w:r>
        <w:rPr>
          <w:rStyle w:val="SourceText"/>
        </w:rPr>
        <w:t>autopilot.knownFailures</w:t>
      </w:r>
      <w:r>
        <w:rPr/>
        <w:t xml:space="preserve">, waiting up to </w:t>
      </w:r>
      <w:r>
        <w:rPr>
          <w:rStyle w:val="SourceText"/>
        </w:rPr>
        <w:t>autopilot.ciTimeoutMinutes</w:t>
      </w:r>
      <w:r>
        <w:rPr/>
        <w:t xml:space="preserve">. It always merges with a merge commit, never a squash, a rebase or </w:t>
      </w:r>
      <w:r>
        <w:rPr>
          <w:rStyle w:val="SourceText"/>
        </w:rPr>
        <w:t>--admin</w:t>
      </w:r>
      <w:r>
        <w:rPr/>
        <w:t xml:space="preserve">, and never through a merge queue. A </w:t>
      </w:r>
      <w:r>
        <w:rPr>
          <w:rStyle w:val="SourceText"/>
        </w:rPr>
        <w:t>high</w:t>
      </w:r>
      <w:r>
        <w:rPr/>
        <w:t xml:space="preserve">-risk ticket, or one whose spec names no risk, never merges unattended when every review was same-family (Claude reviewing Claude); it stops with its pull request open. Autopilot never deploys today. Goals and backlogs arrive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The train never merges, pushes or opens the PR; only autopilot's ship step does, under </w:t>
      </w:r>
      <w:r>
        <w:rPr>
          <w:rStyle w:val="SourceText"/>
        </w:rPr>
        <w:t>autopilot.ship</w:t>
      </w:r>
      <w:r>
        <w:rPr/>
        <w:t xml:space="preserve">.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3783" w:type="dxa"/>
        <w:jc w:val="left"/>
        <w:tblInd w:w="0" w:type="dxa"/>
        <w:tblLayout w:type="fixed"/>
        <w:tblCellMar>
          <w:top w:w="28" w:type="dxa"/>
          <w:left w:w="28" w:type="dxa"/>
          <w:bottom w:w="28" w:type="dxa"/>
          <w:right w:w="28" w:type="dxa"/>
        </w:tblCellMar>
      </w:tblPr>
      <w:tblGrid>
        <w:gridCol w:w="941"/>
        <w:gridCol w:w="2842"/>
      </w:tblGrid>
      <w:tr>
        <w:trPr>
          <w:tblHeader w:val="true"/>
        </w:trPr>
        <w:tc>
          <w:tcPr>
            <w:tcW w:w="941" w:type="dxa"/>
            <w:tcBorders/>
            <w:vAlign w:val="center"/>
          </w:tcPr>
          <w:p>
            <w:pPr>
              <w:pStyle w:val="TableHeading"/>
              <w:suppressLineNumbers/>
              <w:shd w:fill="434C5E" w:val="clear"/>
              <w:bidi w:val="0"/>
              <w:spacing w:before="120" w:after="120"/>
              <w:jc w:val="left"/>
              <w:rPr/>
            </w:pPr>
            <w:r>
              <w:rPr/>
              <w:t>Ticket</w:t>
            </w:r>
          </w:p>
        </w:tc>
        <w:tc>
          <w:tcPr>
            <w:tcW w:w="2842" w:type="dxa"/>
            <w:tcBorders/>
            <w:vAlign w:val="center"/>
          </w:tcPr>
          <w:p>
            <w:pPr>
              <w:pStyle w:val="TableHeading"/>
              <w:suppressLineNumbers/>
              <w:shd w:fill="434C5E" w:val="clear"/>
              <w:bidi w:val="0"/>
              <w:spacing w:before="120" w:after="120"/>
              <w:jc w:val="left"/>
              <w:rPr/>
            </w:pPr>
            <w:r>
              <w:rPr/>
              <w:t>What it brings</w:t>
            </w:r>
          </w:p>
        </w:tc>
      </w:tr>
      <w:tr>
        <w:trPr/>
        <w:tc>
          <w:tcPr>
            <w:tcW w:w="941" w:type="dxa"/>
            <w:tcBorders/>
            <w:vAlign w:val="center"/>
          </w:tcPr>
          <w:p>
            <w:pPr>
              <w:pStyle w:val="TableContents"/>
              <w:shd w:fill="2E3440" w:val="clear"/>
              <w:bidi w:val="0"/>
              <w:spacing w:before="120" w:after="120"/>
              <w:jc w:val="left"/>
              <w:rPr/>
            </w:pPr>
            <w:r>
              <w:rPr/>
              <w:t>T-0009</w:t>
            </w:r>
          </w:p>
        </w:tc>
        <w:tc>
          <w:tcPr>
            <w:tcW w:w="2842"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941" w:type="dxa"/>
            <w:tcBorders/>
            <w:vAlign w:val="center"/>
          </w:tcPr>
          <w:p>
            <w:pPr>
              <w:pStyle w:val="TableContents"/>
              <w:shd w:fill="2E3440" w:val="clear"/>
              <w:bidi w:val="0"/>
              <w:spacing w:before="120" w:after="120"/>
              <w:jc w:val="left"/>
              <w:rPr/>
            </w:pPr>
            <w:r>
              <w:rPr/>
              <w:t>T-0012</w:t>
            </w:r>
          </w:p>
        </w:tc>
        <w:tc>
          <w:tcPr>
            <w:tcW w:w="2842" w:type="dxa"/>
            <w:tcBorders/>
            <w:vAlign w:val="center"/>
          </w:tcPr>
          <w:p>
            <w:pPr>
              <w:pStyle w:val="TableContents"/>
              <w:shd w:fill="2E3440" w:val="clear"/>
              <w:bidi w:val="0"/>
              <w:spacing w:before="120" w:after="120"/>
              <w:jc w:val="left"/>
              <w:rPr/>
            </w:pPr>
            <w:r>
              <w:rPr/>
              <w:t>Autopilot goals and backlogs, with per-run caps</w:t>
            </w:r>
          </w:p>
        </w:tc>
      </w:tr>
      <w:tr>
        <w:trPr/>
        <w:tc>
          <w:tcPr>
            <w:tcW w:w="941" w:type="dxa"/>
            <w:tcBorders/>
            <w:vAlign w:val="center"/>
          </w:tcPr>
          <w:p>
            <w:pPr>
              <w:pStyle w:val="TableContents"/>
              <w:shd w:fill="2E3440" w:val="clear"/>
              <w:bidi w:val="0"/>
              <w:spacing w:before="120" w:after="120"/>
              <w:jc w:val="left"/>
              <w:rPr/>
            </w:pPr>
            <w:r>
              <w:rPr/>
              <w:t>T-0019</w:t>
            </w:r>
          </w:p>
        </w:tc>
        <w:tc>
          <w:tcPr>
            <w:tcW w:w="2842" w:type="dxa"/>
            <w:tcBorders/>
            <w:vAlign w:val="center"/>
          </w:tcPr>
          <w:p>
            <w:pPr>
              <w:pStyle w:val="TableContents"/>
              <w:shd w:fill="2E3440" w:val="clear"/>
              <w:bidi w:val="0"/>
              <w:spacing w:before="120" w:after="120"/>
              <w:jc w:val="left"/>
              <w:rPr/>
            </w:pPr>
            <w:r>
              <w:rPr>
                <w:rStyle w:val="SourceText"/>
              </w:rPr>
              <w:t>/crew:autopilot assign</w:t>
            </w:r>
          </w:p>
        </w:tc>
      </w:tr>
      <w:tr>
        <w:trPr/>
        <w:tc>
          <w:tcPr>
            <w:tcW w:w="941" w:type="dxa"/>
            <w:tcBorders/>
            <w:vAlign w:val="center"/>
          </w:tcPr>
          <w:p>
            <w:pPr>
              <w:pStyle w:val="TableContents"/>
              <w:shd w:fill="2E3440" w:val="clear"/>
              <w:bidi w:val="0"/>
              <w:spacing w:before="120" w:after="120"/>
              <w:jc w:val="left"/>
              <w:rPr/>
            </w:pPr>
            <w:r>
              <w:rPr/>
              <w:t>T-0029</w:t>
            </w:r>
          </w:p>
        </w:tc>
        <w:tc>
          <w:tcPr>
            <w:tcW w:w="2842" w:type="dxa"/>
            <w:tcBorders/>
            <w:vAlign w:val="center"/>
          </w:tcPr>
          <w:p>
            <w:pPr>
              <w:pStyle w:val="TableContents"/>
              <w:shd w:fill="2E3440" w:val="clear"/>
              <w:bidi w:val="0"/>
              <w:spacing w:before="120" w:after="120"/>
              <w:jc w:val="left"/>
              <w:rPr/>
            </w:pPr>
            <w:r>
              <w:rPr/>
              <w:t>Parallel autopilot lanes and a review policy</w:t>
            </w:r>
          </w:p>
        </w:tc>
      </w:tr>
      <w:tr>
        <w:trPr/>
        <w:tc>
          <w:tcPr>
            <w:tcW w:w="941" w:type="dxa"/>
            <w:tcBorders/>
            <w:vAlign w:val="center"/>
          </w:tcPr>
          <w:p>
            <w:pPr>
              <w:pStyle w:val="TableContents"/>
              <w:shd w:fill="2E3440" w:val="clear"/>
              <w:bidi w:val="0"/>
              <w:spacing w:before="120" w:after="120"/>
              <w:jc w:val="left"/>
              <w:rPr/>
            </w:pPr>
            <w:r>
              <w:rPr/>
              <w:t>T-0030</w:t>
            </w:r>
          </w:p>
        </w:tc>
        <w:tc>
          <w:tcPr>
            <w:tcW w:w="2842" w:type="dxa"/>
            <w:tcBorders/>
            <w:vAlign w:val="center"/>
          </w:tcPr>
          <w:p>
            <w:pPr>
              <w:pStyle w:val="TableContents"/>
              <w:shd w:fill="2E3440" w:val="clear"/>
              <w:bidi w:val="0"/>
              <w:spacing w:before="120" w:after="120"/>
              <w:jc w:val="left"/>
              <w:rPr/>
            </w:pPr>
            <w:r>
              <w:rPr/>
              <w:t>Cross-session coordination claims</w:t>
            </w:r>
          </w:p>
        </w:tc>
      </w:tr>
      <w:tr>
        <w:trPr/>
        <w:tc>
          <w:tcPr>
            <w:tcW w:w="941" w:type="dxa"/>
            <w:tcBorders/>
            <w:vAlign w:val="center"/>
          </w:tcPr>
          <w:p>
            <w:pPr>
              <w:pStyle w:val="TableContents"/>
              <w:shd w:fill="2E3440" w:val="clear"/>
              <w:bidi w:val="0"/>
              <w:spacing w:before="120" w:after="120"/>
              <w:jc w:val="left"/>
              <w:rPr/>
            </w:pPr>
            <w:r>
              <w:rPr/>
              <w:t>T-0044</w:t>
            </w:r>
          </w:p>
        </w:tc>
        <w:tc>
          <w:tcPr>
            <w:tcW w:w="2842"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941" w:type="dxa"/>
            <w:tcBorders/>
            <w:vAlign w:val="center"/>
          </w:tcPr>
          <w:p>
            <w:pPr>
              <w:pStyle w:val="TableContents"/>
              <w:shd w:fill="2E3440" w:val="clear"/>
              <w:bidi w:val="0"/>
              <w:spacing w:before="120" w:after="120"/>
              <w:jc w:val="left"/>
              <w:rPr/>
            </w:pPr>
            <w:r>
              <w:rPr/>
              <w:t>T-0045</w:t>
            </w:r>
          </w:p>
        </w:tc>
        <w:tc>
          <w:tcPr>
            <w:tcW w:w="2842"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941" w:type="dxa"/>
            <w:tcBorders/>
            <w:vAlign w:val="center"/>
          </w:tcPr>
          <w:p>
            <w:pPr>
              <w:pStyle w:val="TableContents"/>
              <w:shd w:fill="2E3440" w:val="clear"/>
              <w:bidi w:val="0"/>
              <w:spacing w:before="120" w:after="120"/>
              <w:jc w:val="left"/>
              <w:rPr/>
            </w:pPr>
            <w:r>
              <w:rPr/>
              <w:t>T-0046</w:t>
            </w:r>
          </w:p>
        </w:tc>
        <w:tc>
          <w:tcPr>
            <w:tcW w:w="2842" w:type="dxa"/>
            <w:tcBorders/>
            <w:vAlign w:val="center"/>
          </w:tcPr>
          <w:p>
            <w:pPr>
              <w:pStyle w:val="TableContents"/>
              <w:shd w:fill="2E3440" w:val="clear"/>
              <w:bidi w:val="0"/>
              <w:spacing w:before="120" w:after="120"/>
              <w:jc w:val="left"/>
              <w:rPr/>
            </w:pPr>
            <w:r>
              <w:rPr/>
              <w:t>Release bookkeeping admitted without a Touch entry</w:t>
            </w:r>
          </w:p>
        </w:tc>
      </w:tr>
      <w:tr>
        <w:trPr/>
        <w:tc>
          <w:tcPr>
            <w:tcW w:w="941" w:type="dxa"/>
            <w:tcBorders/>
            <w:vAlign w:val="center"/>
          </w:tcPr>
          <w:p>
            <w:pPr>
              <w:pStyle w:val="TableContents"/>
              <w:shd w:fill="2E3440" w:val="clear"/>
              <w:bidi w:val="0"/>
              <w:spacing w:before="120" w:after="120"/>
              <w:jc w:val="left"/>
              <w:rPr/>
            </w:pPr>
            <w:r>
              <w:rPr/>
              <w:t>T-0054</w:t>
            </w:r>
          </w:p>
        </w:tc>
        <w:tc>
          <w:tcPr>
            <w:tcW w:w="2842" w:type="dxa"/>
            <w:tcBorders/>
            <w:vAlign w:val="center"/>
          </w:tcPr>
          <w:p>
            <w:pPr>
              <w:pStyle w:val="TableContents"/>
              <w:shd w:fill="2E3440" w:val="clear"/>
              <w:bidi w:val="0"/>
              <w:spacing w:before="120" w:after="120"/>
              <w:jc w:val="left"/>
              <w:rPr/>
            </w:pPr>
            <w:r>
              <w:rPr/>
              <w:t>A separate autopilot guide with worked examples</w:t>
            </w:r>
          </w:p>
        </w:tc>
      </w:tr>
      <w:tr>
        <w:trPr/>
        <w:tc>
          <w:tcPr>
            <w:tcW w:w="941" w:type="dxa"/>
            <w:tcBorders/>
            <w:vAlign w:val="center"/>
          </w:tcPr>
          <w:p>
            <w:pPr>
              <w:pStyle w:val="TableContents"/>
              <w:shd w:fill="2E3440" w:val="clear"/>
              <w:bidi w:val="0"/>
              <w:spacing w:before="120" w:after="120"/>
              <w:jc w:val="left"/>
              <w:rPr/>
            </w:pPr>
            <w:r>
              <w:rPr/>
              <w:t>T-0506</w:t>
            </w:r>
          </w:p>
        </w:tc>
        <w:tc>
          <w:tcPr>
            <w:tcW w:w="2842"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holds the reasoning behind each setting, and ships with the plugin.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1.1 -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