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w:t>
      </w:r>
      <w:r>
        <w:rPr>
          <w:rStyle w:val="SourceText"/>
        </w:rPr>
        <w:t>git add</w:t>
      </w:r>
      <w:r>
        <w:rPr/>
        <w:t xml:space="preserve"> it, and show it to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(crew never merges).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72"/>
        <w:gridCol w:w="3793"/>
        <w:gridCol w:w="6074"/>
      </w:tblGrid>
      <w:tr>
        <w:trPr>
          <w:tblHeader w:val="true"/>
        </w:trPr>
        <w:tc>
          <w:tcPr>
            <w:tcW w:w="1472" w:type="dxa"/>
            <w:tcBorders/>
            <w:vAlign w:val="center"/>
          </w:tcPr>
          <w:p>
            <w:pPr>
              <w:pStyle w:val="TableHeading"/>
              <w:suppressLineNumbers/>
              <w:shd w:fill="434C5E" w:val="clear"/>
              <w:bidi w:val="0"/>
              <w:spacing w:before="120" w:after="120"/>
              <w:jc w:val="left"/>
              <w:rPr/>
            </w:pPr>
            <w:r>
              <w:rPr/>
              <w:t>When</w:t>
            </w:r>
          </w:p>
        </w:tc>
        <w:tc>
          <w:tcPr>
            <w:tcW w:w="3793" w:type="dxa"/>
            <w:tcBorders/>
            <w:vAlign w:val="center"/>
          </w:tcPr>
          <w:p>
            <w:pPr>
              <w:pStyle w:val="TableHeading"/>
              <w:suppressLineNumbers/>
              <w:shd w:fill="434C5E" w:val="clear"/>
              <w:bidi w:val="0"/>
              <w:spacing w:before="120" w:after="120"/>
              <w:jc w:val="left"/>
              <w:rPr/>
            </w:pPr>
            <w:r>
              <w:rPr/>
              <w:t>Hook</w:t>
            </w:r>
          </w:p>
        </w:tc>
        <w:tc>
          <w:tcPr>
            <w:tcW w:w="6074" w:type="dxa"/>
            <w:tcBorders/>
            <w:vAlign w:val="center"/>
          </w:tcPr>
          <w:p>
            <w:pPr>
              <w:pStyle w:val="TableHeading"/>
              <w:suppressLineNumbers/>
              <w:shd w:fill="434C5E" w:val="clear"/>
              <w:bidi w:val="0"/>
              <w:spacing w:before="120" w:after="120"/>
              <w:jc w:val="left"/>
              <w:rPr/>
            </w:pPr>
            <w:r>
              <w:rPr/>
              <w:t>Does</w:t>
            </w:r>
          </w:p>
        </w:tc>
      </w:tr>
      <w:tr>
        <w:trPr/>
        <w:tc>
          <w:tcPr>
            <w:tcW w:w="1472" w:type="dxa"/>
            <w:tcBorders/>
            <w:vAlign w:val="center"/>
          </w:tcPr>
          <w:p>
            <w:pPr>
              <w:pStyle w:val="TableContents"/>
              <w:shd w:fill="2E3440" w:val="clear"/>
              <w:bidi w:val="0"/>
              <w:spacing w:before="120" w:after="120"/>
              <w:jc w:val="left"/>
              <w:rPr/>
            </w:pPr>
            <w:r>
              <w:rPr/>
              <w:t>Every write</w:t>
            </w:r>
          </w:p>
        </w:tc>
        <w:tc>
          <w:tcPr>
            <w:tcW w:w="3793"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074"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refuses to end the turn on a red check</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72" w:type="dxa"/>
            <w:tcBorders/>
            <w:vAlign w:val="center"/>
          </w:tcPr>
          <w:p>
            <w:pPr>
              <w:pStyle w:val="TableContents"/>
              <w:shd w:fill="2E3440" w:val="clear"/>
              <w:bidi w:val="0"/>
              <w:spacing w:before="120" w:after="120"/>
              <w:jc w:val="left"/>
              <w:rPr/>
            </w:pPr>
            <w:r>
              <w:rPr/>
              <w:t>Session start</w:t>
            </w:r>
          </w:p>
        </w:tc>
        <w:tc>
          <w:tcPr>
            <w:tcW w:w="3793" w:type="dxa"/>
            <w:tcBorders/>
            <w:vAlign w:val="center"/>
          </w:tcPr>
          <w:p>
            <w:pPr>
              <w:pStyle w:val="TableContents"/>
              <w:shd w:fill="2E3440" w:val="clear"/>
              <w:bidi w:val="0"/>
              <w:spacing w:before="120" w:after="120"/>
              <w:jc w:val="left"/>
              <w:rPr/>
            </w:pPr>
            <w:r>
              <w:rPr/>
              <w:t>context</w:t>
            </w:r>
          </w:p>
        </w:tc>
        <w:tc>
          <w:tcPr>
            <w:tcW w:w="6074"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0" w:type="dxa"/>
        <w:tblLayout w:type="fixed"/>
        <w:tblCellMar>
          <w:top w:w="28" w:type="dxa"/>
          <w:left w:w="28" w:type="dxa"/>
          <w:bottom w:w="28" w:type="dxa"/>
          <w:right w:w="28" w:type="dxa"/>
        </w:tblCellMar>
      </w:tblPr>
      <w:tblGrid>
        <w:gridCol w:w="2547"/>
        <w:gridCol w:w="3402"/>
        <w:gridCol w:w="5390"/>
      </w:tblGrid>
      <w:tr>
        <w:trPr>
          <w:tblHeader w:val="true"/>
        </w:trPr>
        <w:tc>
          <w:tcPr>
            <w:tcW w:w="2547" w:type="dxa"/>
            <w:tcBorders/>
            <w:vAlign w:val="center"/>
          </w:tcPr>
          <w:p>
            <w:pPr>
              <w:pStyle w:val="TableHeading"/>
              <w:suppressLineNumbers/>
              <w:shd w:fill="434C5E" w:val="clear"/>
              <w:bidi w:val="0"/>
              <w:spacing w:before="120" w:after="120"/>
              <w:jc w:val="left"/>
              <w:rPr/>
            </w:pPr>
            <w:r>
              <w:rPr/>
              <w:t>Refusal</w:t>
            </w:r>
          </w:p>
        </w:tc>
        <w:tc>
          <w:tcPr>
            <w:tcW w:w="3402" w:type="dxa"/>
            <w:tcBorders/>
            <w:vAlign w:val="center"/>
          </w:tcPr>
          <w:p>
            <w:pPr>
              <w:pStyle w:val="TableHeading"/>
              <w:suppressLineNumbers/>
              <w:shd w:fill="434C5E" w:val="clear"/>
              <w:bidi w:val="0"/>
              <w:spacing w:before="120" w:after="120"/>
              <w:jc w:val="left"/>
              <w:rPr/>
            </w:pPr>
            <w:r>
              <w:rPr/>
              <w:t>Means</w:t>
            </w:r>
          </w:p>
        </w:tc>
        <w:tc>
          <w:tcPr>
            <w:tcW w:w="5390" w:type="dxa"/>
            <w:tcBorders/>
            <w:vAlign w:val="center"/>
          </w:tcPr>
          <w:p>
            <w:pPr>
              <w:pStyle w:val="TableHeading"/>
              <w:suppressLineNumbers/>
              <w:shd w:fill="434C5E" w:val="clear"/>
              <w:bidi w:val="0"/>
              <w:spacing w:before="120" w:after="120"/>
              <w:jc w:val="left"/>
              <w:rPr/>
            </w:pPr>
            <w:r>
              <w:rPr/>
              <w:t>Do</w:t>
            </w:r>
          </w:p>
        </w:tc>
      </w:tr>
      <w:tr>
        <w:trPr/>
        <w:tc>
          <w:tcPr>
            <w:tcW w:w="2547"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3402"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5390"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547" w:type="dxa"/>
            <w:tcBorders/>
            <w:vAlign w:val="center"/>
          </w:tcPr>
          <w:p>
            <w:pPr>
              <w:pStyle w:val="TableContents"/>
              <w:shd w:fill="2E3440" w:val="clear"/>
              <w:bidi w:val="0"/>
              <w:spacing w:before="120" w:after="120"/>
              <w:jc w:val="left"/>
              <w:rPr/>
            </w:pPr>
            <w:r>
              <w:rPr/>
              <w:t>a write is blocked outside Touch</w:t>
            </w:r>
          </w:p>
        </w:tc>
        <w:tc>
          <w:tcPr>
            <w:tcW w:w="3402" w:type="dxa"/>
            <w:tcBorders/>
            <w:vAlign w:val="center"/>
          </w:tcPr>
          <w:p>
            <w:pPr>
              <w:pStyle w:val="TableContents"/>
              <w:shd w:fill="2E3440" w:val="clear"/>
              <w:bidi w:val="0"/>
              <w:spacing w:before="120" w:after="120"/>
              <w:jc w:val="left"/>
              <w:rPr/>
            </w:pPr>
            <w:r>
              <w:rPr/>
              <w:t>the file isn't in the spec's declared scope</w:t>
            </w:r>
          </w:p>
        </w:tc>
        <w:tc>
          <w:tcPr>
            <w:tcW w:w="5390"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547"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3402"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5390"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2547"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3402" w:type="dxa"/>
            <w:tcBorders/>
            <w:vAlign w:val="center"/>
          </w:tcPr>
          <w:p>
            <w:pPr>
              <w:pStyle w:val="TableContents"/>
              <w:shd w:fill="2E3440" w:val="clear"/>
              <w:bidi w:val="0"/>
              <w:spacing w:before="120" w:after="120"/>
              <w:jc w:val="left"/>
              <w:rPr/>
            </w:pPr>
            <w:r>
              <w:rPr/>
              <w:t>the review budget (two rounds) is spent</w:t>
            </w:r>
          </w:p>
        </w:tc>
        <w:tc>
          <w:tcPr>
            <w:tcW w:w="5390"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547"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3402" w:type="dxa"/>
            <w:tcBorders/>
            <w:vAlign w:val="center"/>
          </w:tcPr>
          <w:p>
            <w:pPr>
              <w:pStyle w:val="TableContents"/>
              <w:shd w:fill="2E3440" w:val="clear"/>
              <w:bidi w:val="0"/>
              <w:spacing w:before="120" w:after="120"/>
              <w:jc w:val="left"/>
              <w:rPr/>
            </w:pPr>
            <w:r>
              <w:rPr/>
              <w:t>a path outside scope changed, including one a shell command wrote</w:t>
            </w:r>
          </w:p>
        </w:tc>
        <w:tc>
          <w:tcPr>
            <w:tcW w:w="5390"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sleep mode now, until the window's end (12 hours with no window), and </w:t>
      </w:r>
      <w:r>
        <w:rPr>
          <w:rStyle w:val="SourceText"/>
        </w:rPr>
        <w:t>/crew:autopilot wake</w:t>
      </w:r>
      <w:r>
        <w:rPr/>
        <w:t xml:space="preserve"> ends it now (L-0652); they are autopilot's only other writers, and write only </w:t>
      </w:r>
      <w:r>
        <w:rPr>
          <w:rStyle w:val="SourceText"/>
        </w:rPr>
        <w:t>&lt;git-common-dir&gt;/crew/autopilot-sleep.json</w:t>
      </w:r>
      <w:r>
        <w:rPr/>
        <w:t xml:space="preserve">. Until L-1504 a manual sleep only tightens: outside the window it applies a night value only where it is stricter than the day value. </w:t>
      </w:r>
      <w:r>
        <w:rPr>
          <w:rStyle w:val="SourceText"/>
        </w:rPr>
        <w:t>sleep</w:t>
      </w:r>
      <w:r>
        <w:rPr/>
        <w:t xml:space="preserve"> needs </w:t>
      </w:r>
      <w:r>
        <w:rPr>
          <w:rStyle w:val="SourceText"/>
        </w:rPr>
        <w:t>scope.allowCliApproval: true</w:t>
      </w:r>
      <w:r>
        <w:rPr/>
        <w:t xml:space="preserve"> and an override stricter than its day value.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46"/>
        <w:gridCol w:w="10393"/>
      </w:tblGrid>
      <w:tr>
        <w:trPr>
          <w:tblHeader w:val="true"/>
        </w:trPr>
        <w:tc>
          <w:tcPr>
            <w:tcW w:w="946" w:type="dxa"/>
            <w:tcBorders/>
            <w:vAlign w:val="center"/>
          </w:tcPr>
          <w:p>
            <w:pPr>
              <w:pStyle w:val="TableHeading"/>
              <w:suppressLineNumbers/>
              <w:shd w:fill="434C5E" w:val="clear"/>
              <w:bidi w:val="0"/>
              <w:spacing w:before="120" w:after="120"/>
              <w:jc w:val="left"/>
              <w:rPr/>
            </w:pPr>
            <w:r>
              <w:rPr/>
              <w:t>Value</w:t>
            </w:r>
          </w:p>
        </w:tc>
        <w:tc>
          <w:tcPr>
            <w:tcW w:w="10393" w:type="dxa"/>
            <w:tcBorders/>
            <w:vAlign w:val="center"/>
          </w:tcPr>
          <w:p>
            <w:pPr>
              <w:pStyle w:val="TableHeading"/>
              <w:suppressLineNumbers/>
              <w:shd w:fill="434C5E" w:val="clear"/>
              <w:bidi w:val="0"/>
              <w:spacing w:before="120" w:after="120"/>
              <w:jc w:val="left"/>
              <w:rPr/>
            </w:pPr>
            <w:r>
              <w:rPr/>
              <w:t>What happens</w:t>
            </w:r>
          </w:p>
        </w:tc>
      </w:tr>
      <w:tr>
        <w:trPr/>
        <w:tc>
          <w:tcPr>
            <w:tcW w:w="946" w:type="dxa"/>
            <w:tcBorders/>
            <w:vAlign w:val="center"/>
          </w:tcPr>
          <w:p>
            <w:pPr>
              <w:pStyle w:val="TableContents"/>
              <w:shd w:fill="2E3440" w:val="clear"/>
              <w:bidi w:val="0"/>
              <w:spacing w:before="120" w:after="120"/>
              <w:jc w:val="left"/>
              <w:rPr/>
            </w:pPr>
            <w:r>
              <w:rPr>
                <w:rStyle w:val="SourceText"/>
              </w:rPr>
              <w:t>off</w:t>
            </w:r>
          </w:p>
        </w:tc>
        <w:tc>
          <w:tcPr>
            <w:tcW w:w="10393" w:type="dxa"/>
            <w:tcBorders/>
            <w:vAlign w:val="center"/>
          </w:tcPr>
          <w:p>
            <w:pPr>
              <w:pStyle w:val="TableContents"/>
              <w:shd w:fill="2E3440" w:val="clear"/>
              <w:bidi w:val="0"/>
              <w:spacing w:before="120" w:after="120"/>
              <w:jc w:val="left"/>
              <w:rPr/>
            </w:pPr>
            <w:r>
              <w:rPr/>
              <w:t>Default. Neither hook does anything.</w:t>
            </w:r>
          </w:p>
        </w:tc>
      </w:tr>
      <w:tr>
        <w:trPr/>
        <w:tc>
          <w:tcPr>
            <w:tcW w:w="946" w:type="dxa"/>
            <w:tcBorders/>
            <w:vAlign w:val="center"/>
          </w:tcPr>
          <w:p>
            <w:pPr>
              <w:pStyle w:val="TableContents"/>
              <w:shd w:fill="2E3440" w:val="clear"/>
              <w:bidi w:val="0"/>
              <w:spacing w:before="120" w:after="120"/>
              <w:jc w:val="left"/>
              <w:rPr/>
            </w:pPr>
            <w:r>
              <w:rPr>
                <w:rStyle w:val="SourceText"/>
              </w:rPr>
              <w:t>report</w:t>
            </w:r>
          </w:p>
        </w:tc>
        <w:tc>
          <w:tcPr>
            <w:tcW w:w="10393"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6" w:type="dxa"/>
            <w:tcBorders/>
            <w:vAlign w:val="center"/>
          </w:tcPr>
          <w:p>
            <w:pPr>
              <w:pStyle w:val="TableContents"/>
              <w:shd w:fill="2E3440" w:val="clear"/>
              <w:bidi w:val="0"/>
              <w:spacing w:before="120" w:after="120"/>
              <w:jc w:val="left"/>
              <w:rPr/>
            </w:pPr>
            <w:r>
              <w:rPr>
                <w:rStyle w:val="SourceText"/>
              </w:rPr>
              <w:t>block</w:t>
            </w:r>
          </w:p>
        </w:tc>
        <w:tc>
          <w:tcPr>
            <w:tcW w:w="10393" w:type="dxa"/>
            <w:tcBorders/>
            <w:vAlign w:val="center"/>
          </w:tcPr>
          <w:p>
            <w:pPr>
              <w:pStyle w:val="TableContents"/>
              <w:shd w:fill="2E3440" w:val="clear"/>
              <w:bidi w:val="0"/>
              <w:spacing w:before="120" w:after="120"/>
              <w:jc w:val="left"/>
              <w:rPr/>
            </w:pPr>
            <w:r>
              <w:rPr/>
              <w:t>Refusals block.</w:t>
            </w:r>
          </w:p>
        </w:tc>
      </w:tr>
      <w:tr>
        <w:trPr/>
        <w:tc>
          <w:tcPr>
            <w:tcW w:w="946" w:type="dxa"/>
            <w:tcBorders/>
            <w:vAlign w:val="center"/>
          </w:tcPr>
          <w:p>
            <w:pPr>
              <w:pStyle w:val="TableContents"/>
              <w:shd w:fill="2E3440" w:val="clear"/>
              <w:bidi w:val="0"/>
              <w:spacing w:before="120" w:after="120"/>
              <w:jc w:val="left"/>
              <w:rPr/>
            </w:pPr>
            <w:r>
              <w:rPr>
                <w:rStyle w:val="SourceText"/>
              </w:rPr>
              <w:t>auto</w:t>
            </w:r>
          </w:p>
        </w:tc>
        <w:tc>
          <w:tcPr>
            <w:tcW w:w="10393"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