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The Crew Plugin: Technical Reference</w:t>
      </w:r>
    </w:p>
    <w:p>
      <w:pPr>
        <w:pStyle w:val="BodyTextmuted"/>
        <w:bidi w:val="0"/>
        <w:jc w:val="left"/>
        <w:rPr/>
      </w:pPr>
      <w:r>
        <w:rPr/>
        <w:t>Generated from useful-claude-add-ons@541b2b70 on 2026-09-22. Verify before trusting.</w:t>
        <w:br/>
        <w:t xml:space="preserve">The low-level guide, for the people who install, configure and extend crew. A companion overview covers the same ground in plain language. Written against crew 0.20.11 on </w:t>
      </w:r>
      <w:r>
        <w:rPr>
          <w:rStyle w:val="SourceText"/>
        </w:rPr>
        <w:t>post-207-checklist</w:t>
      </w:r>
      <w:r>
        <w:rPr/>
        <w:t>, commit 541b2b70.</w:t>
      </w:r>
    </w:p>
    <w:p>
      <w:pPr>
        <w:pStyle w:val="BodyText"/>
        <w:bidi w:val="0"/>
        <w:spacing w:before="200" w:after="200"/>
        <w:ind w:hanging="0" w:left="200" w:right="200"/>
        <w:jc w:val="left"/>
        <w:rPr/>
      </w:pPr>
      <w:r>
        <w:rPr>
          <w:b/>
          <w:shd w:fill="F6F7F9" w:val="clear"/>
        </w:rPr>
        <w:t>Design constraint.</w:t>
      </w:r>
      <w:r>
        <w:rPr>
          <w:shd w:fill="F6F7F9" w:val="clear"/>
        </w:rPr>
        <w:t xml:space="preserve"> A role earns its place only if it buys one of three things: an isolated context window, a restricted tool set, or genuinely independent eyes. Everything else is a file, a command, or the user. Every custom subagent loads the entire </w:t>
      </w:r>
      <w:r>
        <w:rPr>
          <w:rStyle w:val="SourceText"/>
          <w:shd w:fill="F6F7F9" w:val="clear"/>
        </w:rPr>
        <w:t>CLAUDE.md</w:t>
      </w:r>
      <w:r>
        <w:rPr>
          <w:shd w:fill="F6F7F9" w:val="clear"/>
        </w:rPr>
        <w:t xml:space="preserve"> hierarchy at startup, so the roster is kept small and the knowledge is kept in files.</w:t>
      </w:r>
    </w:p>
    <w:p>
      <w:pPr>
        <w:pStyle w:val="Heading2"/>
        <w:bidi w:val="0"/>
        <w:ind w:hanging="0"/>
        <w:jc w:val="left"/>
        <w:rPr/>
      </w:pPr>
      <w:r>
        <w:rPr/>
        <w:t>1. Layout</w:t>
      </w:r>
    </w:p>
    <w:tbl>
      <w:tblPr>
        <w:tblW w:w="5000" w:type="pct"/>
        <w:jc w:val="left"/>
        <w:tblInd w:w="28" w:type="dxa"/>
        <w:tblLayout w:type="fixed"/>
        <w:tblCellMar>
          <w:top w:w="28" w:type="dxa"/>
          <w:left w:w="28" w:type="dxa"/>
          <w:bottom w:w="28" w:type="dxa"/>
          <w:right w:w="28" w:type="dxa"/>
        </w:tblCellMar>
      </w:tblPr>
      <w:tblGrid>
        <w:gridCol w:w="3107"/>
        <w:gridCol w:w="5824"/>
        <w:gridCol w:w="2408"/>
      </w:tblGrid>
      <w:tr>
        <w:trPr>
          <w:tblHeader w:val="true"/>
        </w:trPr>
        <w:tc>
          <w:tcPr>
            <w:tcW w:w="3107" w:type="dxa"/>
            <w:tcBorders/>
            <w:vAlign w:val="center"/>
          </w:tcPr>
          <w:p>
            <w:pPr>
              <w:pStyle w:val="TableHeading"/>
              <w:suppressLineNumbers/>
              <w:shd w:fill="1F4E79" w:val="clear"/>
              <w:bidi w:val="0"/>
              <w:spacing w:before="120" w:after="120"/>
              <w:jc w:val="left"/>
              <w:rPr/>
            </w:pPr>
            <w:r>
              <w:rPr/>
              <w:t>Path</w:t>
            </w:r>
          </w:p>
        </w:tc>
        <w:tc>
          <w:tcPr>
            <w:tcW w:w="5824" w:type="dxa"/>
            <w:tcBorders/>
            <w:vAlign w:val="center"/>
          </w:tcPr>
          <w:p>
            <w:pPr>
              <w:pStyle w:val="TableHeading"/>
              <w:suppressLineNumbers/>
              <w:shd w:fill="1F4E79" w:val="clear"/>
              <w:bidi w:val="0"/>
              <w:spacing w:before="120" w:after="120"/>
              <w:jc w:val="left"/>
              <w:rPr/>
            </w:pPr>
            <w:r>
              <w:rPr/>
              <w:t>Contents</w:t>
            </w:r>
          </w:p>
        </w:tc>
        <w:tc>
          <w:tcPr>
            <w:tcW w:w="2408" w:type="dxa"/>
            <w:tcBorders/>
            <w:vAlign w:val="center"/>
          </w:tcPr>
          <w:p>
            <w:pPr>
              <w:pStyle w:val="TableHeading"/>
              <w:suppressLineNumbers/>
              <w:shd w:fill="1F4E79" w:val="clear"/>
              <w:bidi w:val="0"/>
              <w:spacing w:before="120" w:after="120"/>
              <w:jc w:val="left"/>
              <w:rPr/>
            </w:pPr>
            <w:r>
              <w:rPr/>
              <w:t>Count at 0.20.11</w:t>
            </w:r>
          </w:p>
        </w:tc>
      </w:tr>
      <w:tr>
        <w:trPr/>
        <w:tc>
          <w:tcPr>
            <w:tcW w:w="3107" w:type="dxa"/>
            <w:tcBorders/>
            <w:vAlign w:val="center"/>
          </w:tcPr>
          <w:p>
            <w:pPr>
              <w:pStyle w:val="TableContents"/>
              <w:bidi w:val="0"/>
              <w:spacing w:before="120" w:after="120"/>
              <w:jc w:val="left"/>
              <w:rPr/>
            </w:pPr>
            <w:r>
              <w:rPr>
                <w:rStyle w:val="SourceText"/>
              </w:rPr>
              <w:t>plugin/crew/commands/</w:t>
            </w:r>
          </w:p>
        </w:tc>
        <w:tc>
          <w:tcPr>
            <w:tcW w:w="5824" w:type="dxa"/>
            <w:tcBorders/>
            <w:vAlign w:val="center"/>
          </w:tcPr>
          <w:p>
            <w:pPr>
              <w:pStyle w:val="TableContents"/>
              <w:bidi w:val="0"/>
              <w:spacing w:before="120" w:after="120"/>
              <w:jc w:val="left"/>
              <w:rPr/>
            </w:pPr>
            <w:r>
              <w:rPr/>
              <w:t>Slash commands, one Markdown file each with YAML frontmatter.</w:t>
            </w:r>
          </w:p>
        </w:tc>
        <w:tc>
          <w:tcPr>
            <w:tcW w:w="2408" w:type="dxa"/>
            <w:tcBorders/>
            <w:vAlign w:val="center"/>
          </w:tcPr>
          <w:p>
            <w:pPr>
              <w:pStyle w:val="TableContents"/>
              <w:bidi w:val="0"/>
              <w:spacing w:before="120" w:after="120"/>
              <w:jc w:val="left"/>
              <w:rPr/>
            </w:pPr>
            <w:r>
              <w:rPr/>
              <w:t>28</w:t>
            </w:r>
          </w:p>
        </w:tc>
      </w:tr>
      <w:tr>
        <w:trPr/>
        <w:tc>
          <w:tcPr>
            <w:tcW w:w="3107" w:type="dxa"/>
            <w:tcBorders/>
            <w:vAlign w:val="center"/>
          </w:tcPr>
          <w:p>
            <w:pPr>
              <w:pStyle w:val="TableContents"/>
              <w:bidi w:val="0"/>
              <w:spacing w:before="120" w:after="120"/>
              <w:jc w:val="left"/>
              <w:rPr/>
            </w:pPr>
            <w:r>
              <w:rPr>
                <w:rStyle w:val="SourceText"/>
              </w:rPr>
              <w:t>plugin/crew/agents/</w:t>
            </w:r>
          </w:p>
        </w:tc>
        <w:tc>
          <w:tcPr>
            <w:tcW w:w="5824" w:type="dxa"/>
            <w:tcBorders/>
            <w:vAlign w:val="center"/>
          </w:tcPr>
          <w:p>
            <w:pPr>
              <w:pStyle w:val="TableContents"/>
              <w:bidi w:val="0"/>
              <w:spacing w:before="120" w:after="120"/>
              <w:jc w:val="left"/>
              <w:rPr/>
            </w:pPr>
            <w:r>
              <w:rPr/>
              <w:t xml:space="preserve">Role definitions: </w:t>
            </w:r>
            <w:r>
              <w:rPr>
                <w:rStyle w:val="SourceText"/>
              </w:rPr>
              <w:t>tools:</w:t>
            </w:r>
            <w:r>
              <w:rPr/>
              <w:t xml:space="preserve">, </w:t>
            </w:r>
            <w:r>
              <w:rPr>
                <w:rStyle w:val="SourceText"/>
              </w:rPr>
              <w:t>model:</w:t>
            </w:r>
            <w:r>
              <w:rPr/>
              <w:t>, description, procedure.</w:t>
            </w:r>
          </w:p>
        </w:tc>
        <w:tc>
          <w:tcPr>
            <w:tcW w:w="2408" w:type="dxa"/>
            <w:tcBorders/>
            <w:vAlign w:val="center"/>
          </w:tcPr>
          <w:p>
            <w:pPr>
              <w:pStyle w:val="TableContents"/>
              <w:bidi w:val="0"/>
              <w:spacing w:before="120" w:after="120"/>
              <w:jc w:val="left"/>
              <w:rPr/>
            </w:pPr>
            <w:r>
              <w:rPr/>
              <w:t>54</w:t>
            </w:r>
          </w:p>
        </w:tc>
      </w:tr>
      <w:tr>
        <w:trPr/>
        <w:tc>
          <w:tcPr>
            <w:tcW w:w="3107" w:type="dxa"/>
            <w:tcBorders/>
            <w:vAlign w:val="center"/>
          </w:tcPr>
          <w:p>
            <w:pPr>
              <w:pStyle w:val="TableContents"/>
              <w:bidi w:val="0"/>
              <w:spacing w:before="120" w:after="120"/>
              <w:jc w:val="left"/>
              <w:rPr/>
            </w:pPr>
            <w:r>
              <w:rPr>
                <w:rStyle w:val="SourceText"/>
              </w:rPr>
              <w:t>plugin/crew/skills/</w:t>
            </w:r>
          </w:p>
        </w:tc>
        <w:tc>
          <w:tcPr>
            <w:tcW w:w="5824" w:type="dxa"/>
            <w:tcBorders/>
            <w:vAlign w:val="center"/>
          </w:tcPr>
          <w:p>
            <w:pPr>
              <w:pStyle w:val="TableContents"/>
              <w:bidi w:val="0"/>
              <w:spacing w:before="120" w:after="120"/>
              <w:jc w:val="left"/>
              <w:rPr/>
            </w:pPr>
            <w:r>
              <w:rPr/>
              <w:t xml:space="preserve">Procedures loaded on match; each a directory with </w:t>
            </w:r>
            <w:r>
              <w:rPr>
                <w:rStyle w:val="SourceText"/>
              </w:rPr>
              <w:t>SKILL.md</w:t>
            </w:r>
            <w:r>
              <w:rPr/>
              <w:t xml:space="preserve"> and references.</w:t>
            </w:r>
          </w:p>
        </w:tc>
        <w:tc>
          <w:tcPr>
            <w:tcW w:w="2408" w:type="dxa"/>
            <w:tcBorders/>
            <w:vAlign w:val="center"/>
          </w:tcPr>
          <w:p>
            <w:pPr>
              <w:pStyle w:val="TableContents"/>
              <w:bidi w:val="0"/>
              <w:spacing w:before="120" w:after="120"/>
              <w:jc w:val="left"/>
              <w:rPr/>
            </w:pPr>
            <w:r>
              <w:rPr/>
              <w:t>20</w:t>
            </w:r>
          </w:p>
        </w:tc>
      </w:tr>
      <w:tr>
        <w:trPr/>
        <w:tc>
          <w:tcPr>
            <w:tcW w:w="3107" w:type="dxa"/>
            <w:tcBorders/>
            <w:vAlign w:val="center"/>
          </w:tcPr>
          <w:p>
            <w:pPr>
              <w:pStyle w:val="TableContents"/>
              <w:bidi w:val="0"/>
              <w:spacing w:before="120" w:after="120"/>
              <w:jc w:val="left"/>
              <w:rPr/>
            </w:pPr>
            <w:r>
              <w:rPr>
                <w:rStyle w:val="SourceText"/>
              </w:rPr>
              <w:t>plugin/crew/hooks/hooks.json</w:t>
            </w:r>
            <w:r>
              <w:rPr/>
              <w:t xml:space="preserve"> and </w:t>
            </w:r>
            <w:r>
              <w:rPr>
                <w:rStyle w:val="SourceText"/>
              </w:rPr>
              <w:t>hooks/scripts/</w:t>
            </w:r>
          </w:p>
        </w:tc>
        <w:tc>
          <w:tcPr>
            <w:tcW w:w="5824" w:type="dxa"/>
            <w:tcBorders/>
            <w:vAlign w:val="center"/>
          </w:tcPr>
          <w:p>
            <w:pPr>
              <w:pStyle w:val="TableContents"/>
              <w:bidi w:val="0"/>
              <w:spacing w:before="120" w:after="120"/>
              <w:jc w:val="left"/>
              <w:rPr/>
            </w:pPr>
            <w:r>
              <w:rPr/>
              <w:t>Hook registrations, each event once per shell flavour, and the scripts they run.</w:t>
            </w:r>
          </w:p>
        </w:tc>
        <w:tc>
          <w:tcPr>
            <w:tcW w:w="2408" w:type="dxa"/>
            <w:tcBorders/>
            <w:vAlign w:val="center"/>
          </w:tcPr>
          <w:p>
            <w:pPr>
              <w:pStyle w:val="TableContents"/>
              <w:bidi w:val="0"/>
              <w:spacing w:before="120" w:after="120"/>
              <w:jc w:val="left"/>
              <w:rPr/>
            </w:pPr>
            <w:r>
              <w:rPr/>
              <w:t>20 registrations across 5 events</w:t>
            </w:r>
          </w:p>
        </w:tc>
      </w:tr>
      <w:tr>
        <w:trPr/>
        <w:tc>
          <w:tcPr>
            <w:tcW w:w="3107" w:type="dxa"/>
            <w:tcBorders/>
            <w:vAlign w:val="center"/>
          </w:tcPr>
          <w:p>
            <w:pPr>
              <w:pStyle w:val="TableContents"/>
              <w:bidi w:val="0"/>
              <w:spacing w:before="120" w:after="120"/>
              <w:jc w:val="left"/>
              <w:rPr/>
            </w:pPr>
            <w:r>
              <w:rPr>
                <w:rStyle w:val="SourceText"/>
              </w:rPr>
              <w:t>plugin/crew/tests/</w:t>
            </w:r>
          </w:p>
        </w:tc>
        <w:tc>
          <w:tcPr>
            <w:tcW w:w="5824" w:type="dxa"/>
            <w:tcBorders/>
            <w:vAlign w:val="center"/>
          </w:tcPr>
          <w:p>
            <w:pPr>
              <w:pStyle w:val="TableContents"/>
              <w:bidi w:val="0"/>
              <w:spacing w:before="120" w:after="120"/>
              <w:jc w:val="left"/>
              <w:rPr/>
            </w:pPr>
            <w:r>
              <w:rPr/>
              <w:t xml:space="preserve">pytest suites, fixtures, and </w:t>
            </w:r>
            <w:r>
              <w:rPr>
                <w:rStyle w:val="SourceText"/>
              </w:rPr>
              <w:t>sabotage.py</w:t>
            </w:r>
            <w:r>
              <w:rPr/>
              <w:t>, which reintroduces known bugs and asserts the suite goes red.</w:t>
            </w:r>
          </w:p>
        </w:tc>
        <w:tc>
          <w:tcPr>
            <w:tcW w:w="2408" w:type="dxa"/>
            <w:tcBorders/>
            <w:vAlign w:val="center"/>
          </w:tcPr>
          <w:p>
            <w:pPr>
              <w:pStyle w:val="TableContents"/>
              <w:bidi w:val="0"/>
              <w:spacing w:before="120" w:after="120"/>
              <w:jc w:val="left"/>
              <w:rPr/>
            </w:pPr>
            <w:r>
              <w:rPr/>
              <w:t>65 modules</w:t>
            </w:r>
          </w:p>
        </w:tc>
      </w:tr>
      <w:tr>
        <w:trPr/>
        <w:tc>
          <w:tcPr>
            <w:tcW w:w="3107" w:type="dxa"/>
            <w:tcBorders/>
            <w:vAlign w:val="center"/>
          </w:tcPr>
          <w:p>
            <w:pPr>
              <w:pStyle w:val="TableContents"/>
              <w:bidi w:val="0"/>
              <w:spacing w:before="120" w:after="120"/>
              <w:jc w:val="left"/>
              <w:rPr/>
            </w:pPr>
            <w:r>
              <w:rPr>
                <w:rStyle w:val="SourceText"/>
              </w:rPr>
              <w:t>plugin/crew/evals/</w:t>
            </w:r>
          </w:p>
        </w:tc>
        <w:tc>
          <w:tcPr>
            <w:tcW w:w="5824" w:type="dxa"/>
            <w:tcBorders/>
            <w:vAlign w:val="center"/>
          </w:tcPr>
          <w:p>
            <w:pPr>
              <w:pStyle w:val="TableContents"/>
              <w:bidi w:val="0"/>
              <w:spacing w:before="120" w:after="120"/>
              <w:jc w:val="left"/>
              <w:rPr/>
            </w:pPr>
            <w:r>
              <w:rPr>
                <w:rStyle w:val="SourceText"/>
              </w:rPr>
              <w:t>claude plugin eval</w:t>
            </w:r>
            <w:r>
              <w:rPr/>
              <w:t xml:space="preserve"> cases with structural graders; runners in </w:t>
            </w:r>
            <w:r>
              <w:rPr>
                <w:rStyle w:val="SourceText"/>
              </w:rPr>
              <w:t>scripts/run-plugin-evals.{sh,ps1}</w:t>
            </w:r>
            <w:r>
              <w:rPr/>
              <w:t>.</w:t>
            </w:r>
          </w:p>
        </w:tc>
        <w:tc>
          <w:tcPr>
            <w:tcW w:w="2408" w:type="dxa"/>
            <w:tcBorders/>
            <w:vAlign w:val="center"/>
          </w:tcPr>
          <w:p>
            <w:pPr>
              <w:pStyle w:val="TableContents"/>
              <w:bidi w:val="0"/>
              <w:spacing w:before="120" w:after="120"/>
              <w:jc w:val="left"/>
              <w:rPr/>
            </w:pPr>
            <w:r>
              <w:rPr/>
              <w:t>5 cases</w:t>
            </w:r>
          </w:p>
        </w:tc>
      </w:tr>
      <w:tr>
        <w:trPr/>
        <w:tc>
          <w:tcPr>
            <w:tcW w:w="3107" w:type="dxa"/>
            <w:tcBorders/>
            <w:vAlign w:val="center"/>
          </w:tcPr>
          <w:p>
            <w:pPr>
              <w:pStyle w:val="TableContents"/>
              <w:bidi w:val="0"/>
              <w:spacing w:before="120" w:after="120"/>
              <w:jc w:val="left"/>
              <w:rPr/>
            </w:pPr>
            <w:r>
              <w:rPr>
                <w:rStyle w:val="SourceText"/>
              </w:rPr>
              <w:t>plugin/crew/CONFIG.md</w:t>
            </w:r>
          </w:p>
        </w:tc>
        <w:tc>
          <w:tcPr>
            <w:tcW w:w="5824" w:type="dxa"/>
            <w:tcBorders/>
            <w:vAlign w:val="center"/>
          </w:tcPr>
          <w:p>
            <w:pPr>
              <w:pStyle w:val="TableContents"/>
              <w:bidi w:val="0"/>
              <w:spacing w:before="120" w:after="120"/>
              <w:jc w:val="left"/>
              <w:rPr/>
            </w:pPr>
            <w:r>
              <w:rPr/>
              <w:t>Every configuration key, its layers and its ratchet rule.</w:t>
            </w:r>
          </w:p>
        </w:tc>
        <w:tc>
          <w:tcPr>
            <w:tcW w:w="2408" w:type="dxa"/>
            <w:tcBorders/>
            <w:vAlign w:val="center"/>
          </w:tcPr>
          <w:p>
            <w:pPr>
              <w:pStyle w:val="TableContents"/>
              <w:bidi w:val="0"/>
              <w:spacing w:before="120" w:after="120"/>
              <w:jc w:val="left"/>
              <w:rPr/>
            </w:pPr>
            <w:r>
              <w:rPr/>
              <w:t>19 sections</w:t>
            </w:r>
          </w:p>
        </w:tc>
      </w:tr>
    </w:tbl>
    <w:p>
      <w:pPr>
        <w:pStyle w:val="Heading2"/>
        <w:bidi w:val="0"/>
        <w:jc w:val="left"/>
        <w:rPr/>
      </w:pPr>
      <w:r>
        <w:rPr/>
        <w:t>2. Roles</w:t>
      </w:r>
    </w:p>
    <w:p>
      <w:pPr>
        <w:pStyle w:val="Heading3"/>
        <w:bidi w:val="0"/>
        <w:jc w:val="left"/>
        <w:rPr/>
      </w:pPr>
      <w:r>
        <w:rPr/>
        <w:t>The Ladder</w:t>
      </w:r>
    </w:p>
    <w:tbl>
      <w:tblPr>
        <w:tblW w:w="5000" w:type="pct"/>
        <w:jc w:val="left"/>
        <w:tblInd w:w="28" w:type="dxa"/>
        <w:tblLayout w:type="fixed"/>
        <w:tblCellMar>
          <w:top w:w="28" w:type="dxa"/>
          <w:left w:w="28" w:type="dxa"/>
          <w:bottom w:w="28" w:type="dxa"/>
          <w:right w:w="28" w:type="dxa"/>
        </w:tblCellMar>
      </w:tblPr>
      <w:tblGrid>
        <w:gridCol w:w="675"/>
        <w:gridCol w:w="2815"/>
        <w:gridCol w:w="4310"/>
        <w:gridCol w:w="3539"/>
      </w:tblGrid>
      <w:tr>
        <w:trPr>
          <w:tblHeader w:val="true"/>
        </w:trPr>
        <w:tc>
          <w:tcPr>
            <w:tcW w:w="675" w:type="dxa"/>
            <w:tcBorders/>
            <w:vAlign w:val="center"/>
          </w:tcPr>
          <w:p>
            <w:pPr>
              <w:pStyle w:val="TableHeading"/>
              <w:suppressLineNumbers/>
              <w:shd w:fill="1F4E79" w:val="clear"/>
              <w:bidi w:val="0"/>
              <w:spacing w:before="120" w:after="120"/>
              <w:jc w:val="left"/>
              <w:rPr/>
            </w:pPr>
            <w:r>
              <w:rPr/>
              <w:t>Tier</w:t>
            </w:r>
          </w:p>
        </w:tc>
        <w:tc>
          <w:tcPr>
            <w:tcW w:w="2815" w:type="dxa"/>
            <w:tcBorders/>
            <w:vAlign w:val="center"/>
          </w:tcPr>
          <w:p>
            <w:pPr>
              <w:pStyle w:val="TableHeading"/>
              <w:suppressLineNumbers/>
              <w:shd w:fill="1F4E79" w:val="clear"/>
              <w:bidi w:val="0"/>
              <w:spacing w:before="120" w:after="120"/>
              <w:jc w:val="left"/>
              <w:rPr/>
            </w:pPr>
            <w:r>
              <w:rPr/>
              <w:t>Roles</w:t>
            </w:r>
          </w:p>
        </w:tc>
        <w:tc>
          <w:tcPr>
            <w:tcW w:w="4310" w:type="dxa"/>
            <w:tcBorders/>
            <w:vAlign w:val="center"/>
          </w:tcPr>
          <w:p>
            <w:pPr>
              <w:pStyle w:val="TableHeading"/>
              <w:suppressLineNumbers/>
              <w:shd w:fill="1F4E79" w:val="clear"/>
              <w:bidi w:val="0"/>
              <w:spacing w:before="120" w:after="120"/>
              <w:jc w:val="left"/>
              <w:rPr/>
            </w:pPr>
            <w:r>
              <w:rPr/>
              <w:t>Tools of note</w:t>
            </w:r>
          </w:p>
        </w:tc>
        <w:tc>
          <w:tcPr>
            <w:tcW w:w="3539" w:type="dxa"/>
            <w:tcBorders/>
            <w:vAlign w:val="center"/>
          </w:tcPr>
          <w:p>
            <w:pPr>
              <w:pStyle w:val="TableHeading"/>
              <w:suppressLineNumbers/>
              <w:shd w:fill="1F4E79" w:val="clear"/>
              <w:bidi w:val="0"/>
              <w:spacing w:before="120" w:after="120"/>
              <w:jc w:val="left"/>
              <w:rPr/>
            </w:pPr>
            <w:r>
              <w:rPr/>
              <w:t>Add when</w:t>
            </w:r>
          </w:p>
        </w:tc>
      </w:tr>
      <w:tr>
        <w:trPr/>
        <w:tc>
          <w:tcPr>
            <w:tcW w:w="675" w:type="dxa"/>
            <w:tcBorders/>
            <w:vAlign w:val="center"/>
          </w:tcPr>
          <w:p>
            <w:pPr>
              <w:pStyle w:val="TableContents"/>
              <w:bidi w:val="0"/>
              <w:spacing w:before="120" w:after="120"/>
              <w:jc w:val="left"/>
              <w:rPr/>
            </w:pPr>
            <w:r>
              <w:rPr/>
              <w:t>0</w:t>
            </w:r>
          </w:p>
        </w:tc>
        <w:tc>
          <w:tcPr>
            <w:tcW w:w="2815" w:type="dxa"/>
            <w:tcBorders/>
            <w:vAlign w:val="center"/>
          </w:tcPr>
          <w:p>
            <w:pPr>
              <w:pStyle w:val="TableContents"/>
              <w:bidi w:val="0"/>
              <w:spacing w:before="120" w:after="120"/>
              <w:jc w:val="left"/>
              <w:rPr/>
            </w:pPr>
            <w:r>
              <w:rPr/>
              <w:t>explorer, qa-reviewer</w:t>
            </w:r>
          </w:p>
        </w:tc>
        <w:tc>
          <w:tcPr>
            <w:tcW w:w="4310" w:type="dxa"/>
            <w:tcBorders/>
            <w:vAlign w:val="center"/>
          </w:tcPr>
          <w:p>
            <w:pPr>
              <w:pStyle w:val="TableContents"/>
              <w:bidi w:val="0"/>
              <w:spacing w:before="120" w:after="120"/>
              <w:jc w:val="left"/>
              <w:rPr/>
            </w:pPr>
            <w:r>
              <w:rPr/>
              <w:t>explorer: Read, Grep, Glob only. qa-reviewer: read-only plus Bash.</w:t>
            </w:r>
          </w:p>
        </w:tc>
        <w:tc>
          <w:tcPr>
            <w:tcW w:w="3539" w:type="dxa"/>
            <w:tcBorders/>
            <w:vAlign w:val="center"/>
          </w:tcPr>
          <w:p>
            <w:pPr>
              <w:pStyle w:val="TableContents"/>
              <w:bidi w:val="0"/>
              <w:spacing w:before="120" w:after="120"/>
              <w:jc w:val="left"/>
              <w:rPr/>
            </w:pPr>
            <w:r>
              <w:rPr/>
              <w:t>Always.</w:t>
            </w:r>
          </w:p>
        </w:tc>
      </w:tr>
      <w:tr>
        <w:trPr/>
        <w:tc>
          <w:tcPr>
            <w:tcW w:w="675" w:type="dxa"/>
            <w:tcBorders/>
            <w:vAlign w:val="center"/>
          </w:tcPr>
          <w:p>
            <w:pPr>
              <w:pStyle w:val="TableContents"/>
              <w:bidi w:val="0"/>
              <w:spacing w:before="120" w:after="120"/>
              <w:jc w:val="left"/>
              <w:rPr/>
            </w:pPr>
            <w:r>
              <w:rPr/>
              <w:t>1</w:t>
            </w:r>
          </w:p>
        </w:tc>
        <w:tc>
          <w:tcPr>
            <w:tcW w:w="2815" w:type="dxa"/>
            <w:tcBorders/>
            <w:vAlign w:val="center"/>
          </w:tcPr>
          <w:p>
            <w:pPr>
              <w:pStyle w:val="TableContents"/>
              <w:bidi w:val="0"/>
              <w:spacing w:before="120" w:after="120"/>
              <w:jc w:val="left"/>
              <w:rPr/>
            </w:pPr>
            <w:r>
              <w:rPr/>
              <w:t>security, smoke-author, developer</w:t>
            </w:r>
          </w:p>
        </w:tc>
        <w:tc>
          <w:tcPr>
            <w:tcW w:w="4310" w:type="dxa"/>
            <w:tcBorders/>
            <w:vAlign w:val="center"/>
          </w:tcPr>
          <w:p>
            <w:pPr>
              <w:pStyle w:val="TableContents"/>
              <w:bidi w:val="0"/>
              <w:spacing w:before="120" w:after="120"/>
              <w:jc w:val="left"/>
              <w:rPr/>
            </w:pPr>
            <w:r>
              <w:rPr/>
              <w:t>security: no Write or Edit, has Bash. developer: full write, own context, never reviews its own diff.</w:t>
            </w:r>
          </w:p>
        </w:tc>
        <w:tc>
          <w:tcPr>
            <w:tcW w:w="3539" w:type="dxa"/>
            <w:tcBorders/>
            <w:vAlign w:val="center"/>
          </w:tcPr>
          <w:p>
            <w:pPr>
              <w:pStyle w:val="TableContents"/>
              <w:bidi w:val="0"/>
              <w:spacing w:before="120" w:after="120"/>
              <w:jc w:val="left"/>
              <w:rPr/>
            </w:pPr>
            <w:r>
              <w:rPr/>
              <w:t>Security findings reach review; coverage gaps regress; the PM runs work end to end.</w:t>
            </w:r>
          </w:p>
        </w:tc>
      </w:tr>
      <w:tr>
        <w:trPr/>
        <w:tc>
          <w:tcPr>
            <w:tcW w:w="675" w:type="dxa"/>
            <w:tcBorders/>
            <w:vAlign w:val="center"/>
          </w:tcPr>
          <w:p>
            <w:pPr>
              <w:pStyle w:val="TableContents"/>
              <w:bidi w:val="0"/>
              <w:spacing w:before="120" w:after="120"/>
              <w:jc w:val="left"/>
              <w:rPr/>
            </w:pPr>
            <w:r>
              <w:rPr/>
              <w:t>2</w:t>
            </w:r>
          </w:p>
        </w:tc>
        <w:tc>
          <w:tcPr>
            <w:tcW w:w="2815" w:type="dxa"/>
            <w:tcBorders/>
            <w:vAlign w:val="center"/>
          </w:tcPr>
          <w:p>
            <w:pPr>
              <w:pStyle w:val="TableContents"/>
              <w:bidi w:val="0"/>
              <w:spacing w:before="120" w:after="120"/>
              <w:jc w:val="left"/>
              <w:rPr/>
            </w:pPr>
            <w:r>
              <w:rPr/>
              <w:t>dba, docs-writer, browser-tester, analyst, planner, infrastructure-architect, scribe, researcher</w:t>
            </w:r>
          </w:p>
        </w:tc>
        <w:tc>
          <w:tcPr>
            <w:tcW w:w="4310" w:type="dxa"/>
            <w:tcBorders/>
            <w:vAlign w:val="center"/>
          </w:tcPr>
          <w:p>
            <w:pPr>
              <w:pStyle w:val="TableContents"/>
              <w:bidi w:val="0"/>
              <w:spacing w:before="120" w:after="120"/>
              <w:jc w:val="left"/>
              <w:rPr/>
            </w:pPr>
            <w:r>
              <w:rPr/>
              <w:t xml:space="preserve">planner works from an abstracted brief; </w:t>
            </w:r>
            <w:r>
              <w:rPr>
                <w:rStyle w:val="SourceText"/>
              </w:rPr>
              <w:t>secondOpinion.sendsCode</w:t>
            </w:r>
            <w:r>
              <w:rPr/>
              <w:t xml:space="preserve"> is false by design.</w:t>
            </w:r>
          </w:p>
        </w:tc>
        <w:tc>
          <w:tcPr>
            <w:tcW w:w="3539" w:type="dxa"/>
            <w:tcBorders/>
            <w:vAlign w:val="center"/>
          </w:tcPr>
          <w:p>
            <w:pPr>
              <w:pStyle w:val="TableContents"/>
              <w:bidi w:val="0"/>
              <w:spacing w:before="120" w:after="120"/>
              <w:jc w:val="left"/>
              <w:rPr/>
            </w:pPr>
            <w:r>
              <w:rPr/>
              <w:t xml:space="preserve">Per the table in </w:t>
            </w:r>
            <w:r>
              <w:rPr>
                <w:rStyle w:val="SourceText"/>
              </w:rPr>
              <w:t>skills/crew-scaling/SKILL.md</w:t>
            </w:r>
            <w:r>
              <w:rPr/>
              <w:t xml:space="preserve">; </w:t>
            </w:r>
            <w:r>
              <w:rPr>
                <w:rStyle w:val="SourceText"/>
              </w:rPr>
              <w:t>/crew:scale</w:t>
            </w:r>
            <w:r>
              <w:rPr/>
              <w:t xml:space="preserve"> reads </w:t>
            </w:r>
            <w:r>
              <w:rPr>
                <w:rStyle w:val="SourceText"/>
              </w:rPr>
              <w:t>.crew/metrics.md</w:t>
            </w:r>
            <w:r>
              <w:rPr/>
              <w:t xml:space="preserve"> and recommends.</w:t>
            </w:r>
          </w:p>
        </w:tc>
      </w:tr>
      <w:tr>
        <w:trPr/>
        <w:tc>
          <w:tcPr>
            <w:tcW w:w="675" w:type="dxa"/>
            <w:tcBorders/>
            <w:vAlign w:val="center"/>
          </w:tcPr>
          <w:p>
            <w:pPr>
              <w:pStyle w:val="TableContents"/>
              <w:bidi w:val="0"/>
              <w:spacing w:before="120" w:after="120"/>
              <w:jc w:val="left"/>
              <w:rPr/>
            </w:pPr>
            <w:r>
              <w:rPr/>
              <w:t>3</w:t>
            </w:r>
          </w:p>
        </w:tc>
        <w:tc>
          <w:tcPr>
            <w:tcW w:w="2815" w:type="dxa"/>
            <w:tcBorders/>
            <w:vAlign w:val="center"/>
          </w:tcPr>
          <w:p>
            <w:pPr>
              <w:pStyle w:val="TableContents"/>
              <w:bidi w:val="0"/>
              <w:spacing w:before="120" w:after="120"/>
              <w:jc w:val="left"/>
              <w:rPr/>
            </w:pPr>
            <w:r>
              <w:rPr/>
              <w:t>parallel sessions, worktrees, agent teams</w:t>
            </w:r>
          </w:p>
        </w:tc>
        <w:tc>
          <w:tcPr>
            <w:tcW w:w="4310" w:type="dxa"/>
            <w:tcBorders/>
            <w:vAlign w:val="center"/>
          </w:tcPr>
          <w:p>
            <w:pPr>
              <w:pStyle w:val="TableContents"/>
              <w:bidi w:val="0"/>
              <w:spacing w:before="120" w:after="120"/>
              <w:jc w:val="left"/>
              <w:rPr>
                <w:sz w:val="4"/>
                <w:szCs w:val="4"/>
              </w:rPr>
            </w:pPr>
            <w:r>
              <w:rPr>
                <w:sz w:val="4"/>
                <w:szCs w:val="4"/>
              </w:rPr>
            </w:r>
          </w:p>
        </w:tc>
        <w:tc>
          <w:tcPr>
            <w:tcW w:w="3539" w:type="dxa"/>
            <w:tcBorders/>
            <w:vAlign w:val="center"/>
          </w:tcPr>
          <w:p>
            <w:pPr>
              <w:pStyle w:val="TableContents"/>
              <w:bidi w:val="0"/>
              <w:spacing w:before="120" w:after="120"/>
              <w:jc w:val="left"/>
              <w:rPr/>
            </w:pPr>
            <w:r>
              <w:rPr/>
              <w:t>Every involved repository has green smoke.</w:t>
            </w:r>
          </w:p>
        </w:tc>
      </w:tr>
    </w:tbl>
    <w:p>
      <w:pPr>
        <w:pStyle w:val="BodyText"/>
        <w:bidi w:val="0"/>
        <w:jc w:val="left"/>
        <w:rPr/>
      </w:pPr>
      <w:r>
        <w:rPr>
          <w:rStyle w:val="SourceText"/>
        </w:rPr>
        <w:t>ROLE_TIERS</w:t>
      </w:r>
      <w:r>
        <w:rPr/>
        <w:t xml:space="preserve"> (</w:t>
      </w:r>
      <w:r>
        <w:rPr>
          <w:rStyle w:val="SourceText"/>
        </w:rPr>
        <w:t>hooks/scripts/crew_state.py:1205</w:t>
      </w:r>
      <w:r>
        <w:rPr/>
        <w:t>) holds 13 entries across tiers 0-2. Tier 3 names no role; it governs parallelism, and a config that declares it keeps it.</w:t>
      </w:r>
    </w:p>
    <w:p>
      <w:pPr>
        <w:pStyle w:val="Heading3"/>
        <w:bidi w:val="0"/>
        <w:jc w:val="left"/>
        <w:rPr/>
      </w:pPr>
      <w:r>
        <w:rPr/>
        <w:t>The PM</w:t>
      </w:r>
    </w:p>
    <w:p>
      <w:pPr>
        <w:pStyle w:val="BodyText"/>
        <w:bidi w:val="0"/>
        <w:jc w:val="left"/>
        <w:rPr/>
      </w:pPr>
      <w:r>
        <w:rPr/>
        <w:t xml:space="preserve">Standing teammate named </w:t>
      </w:r>
      <w:r>
        <w:rPr>
          <w:rStyle w:val="SourceText"/>
        </w:rPr>
        <w:t>crew-pm</w:t>
      </w:r>
      <w:r>
        <w:rPr/>
        <w:t xml:space="preserve">, reached by </w:t>
      </w:r>
      <w:r>
        <w:rPr>
          <w:rStyle w:val="SourceText"/>
        </w:rPr>
        <w:t>SendMessage</w:t>
      </w:r>
      <w:r>
        <w:rPr/>
        <w:t xml:space="preserve"> so it keeps its transcript. Tools: Read, Write, Edit, Bash, Grep, Glob, Agent, Skill. No SendMessage, no ListAgents, so resume-by-id belongs to the caller (</w:t>
      </w:r>
      <w:r>
        <w:rPr>
          <w:rStyle w:val="SourceText"/>
        </w:rPr>
        <w:t>commands/pm.md</w:t>
      </w:r>
      <w:r>
        <w:rPr/>
        <w:t xml:space="preserve">). Authority is </w:t>
      </w:r>
      <w:r>
        <w:rPr>
          <w:rStyle w:val="SourceText"/>
        </w:rPr>
        <w:t>report-only | act | autonomous</w:t>
      </w:r>
      <w:r>
        <w:rPr/>
        <w:t xml:space="preserve">; the stops in </w:t>
      </w:r>
      <w:r>
        <w:rPr>
          <w:rStyle w:val="SourceText"/>
        </w:rPr>
        <w:t>crew_state.AUTONOMOUS_STOPS</w:t>
      </w:r>
      <w:r>
        <w:rPr/>
        <w:t xml:space="preserve"> hold at every tier: offboarding a role, deleting a codemap or diagram, rewriting </w:t>
      </w:r>
      <w:r>
        <w:rPr>
          <w:rStyle w:val="SourceText"/>
        </w:rPr>
        <w:t>.crew/metrics.md</w:t>
      </w:r>
      <w:r>
        <w:rPr/>
        <w:t xml:space="preserve">, destroying git history. Dispatch cap 3 per pass. Write scope: </w:t>
      </w:r>
      <w:r>
        <w:rPr>
          <w:rStyle w:val="SourceText"/>
        </w:rPr>
        <w:t>.crew/**</w:t>
      </w:r>
      <w:r>
        <w:rPr/>
        <w:t xml:space="preserve">, </w:t>
      </w:r>
      <w:r>
        <w:rPr>
          <w:rStyle w:val="SourceText"/>
        </w:rPr>
        <w:t>TODO.md</w:t>
      </w:r>
      <w:r>
        <w:rPr/>
        <w:t xml:space="preserve">, </w:t>
      </w:r>
      <w:r>
        <w:rPr>
          <w:rStyle w:val="SourceText"/>
        </w:rPr>
        <w:t>.work/**</w:t>
      </w:r>
      <w:r>
        <w:rPr/>
        <w:t xml:space="preserve">, </w:t>
      </w:r>
      <w:r>
        <w:rPr>
          <w:rStyle w:val="SourceText"/>
        </w:rPr>
        <w:t>docs/diagrams/**</w:t>
      </w:r>
      <w:r>
        <w:rPr/>
        <w:t xml:space="preserve">, enforced by the role write guard. Since </w:t>
      </w:r>
      <w:r>
        <w:rPr>
          <w:rStyle w:val="SourceText"/>
        </w:rPr>
        <w:t>agents/pm.md</w:t>
      </w:r>
      <w:r>
        <w:rPr/>
        <w:t xml:space="preserve">'s most recent change, the PM re-reads full </w:t>
      </w:r>
      <w:r>
        <w:rPr>
          <w:rStyle w:val="SourceText"/>
        </w:rPr>
        <w:t>crew_state.py</w:t>
      </w:r>
      <w:r>
        <w:rPr/>
        <w:t xml:space="preserve"> output plus HEAD, branch and </w:t>
      </w:r>
      <w:r>
        <w:rPr>
          <w:rStyle w:val="SourceText"/>
        </w:rPr>
        <w:t>git status --porcelain</w:t>
      </w:r>
      <w:r>
        <w:rPr/>
        <w:t xml:space="preserve"> before every dispatch, and on every return runs </w:t>
      </w:r>
      <w:r>
        <w:rPr>
          <w:rStyle w:val="SourceText"/>
        </w:rPr>
        <w:t>rev-parse</w:t>
      </w:r>
      <w:r>
        <w:rPr/>
        <w:t xml:space="preserve">, </w:t>
      </w:r>
      <w:r>
        <w:rPr>
          <w:rStyle w:val="SourceText"/>
        </w:rPr>
        <w:t>merge-base --is-ancestor</w:t>
      </w:r>
      <w:r>
        <w:rPr/>
        <w:t xml:space="preserve">, </w:t>
      </w:r>
      <w:r>
        <w:rPr>
          <w:rStyle w:val="SourceText"/>
        </w:rPr>
        <w:t>log &lt;pre&gt;..HEAD</w:t>
      </w:r>
      <w:r>
        <w:rPr/>
        <w:t xml:space="preserve"> and </w:t>
      </w:r>
      <w:r>
        <w:rPr>
          <w:rStyle w:val="SourceText"/>
        </w:rPr>
        <w:t>branch --show-current</w:t>
      </w:r>
      <w:r>
        <w:rPr/>
        <w:t xml:space="preserve"> against its own checkout, so a backward, sideways or foreign-forward HEAD is reported rather than assumed away.</w:t>
      </w:r>
    </w:p>
    <w:p>
      <w:pPr>
        <w:pStyle w:val="Heading3"/>
        <w:bidi w:val="0"/>
        <w:jc w:val="left"/>
        <w:rPr/>
      </w:pPr>
      <w:r>
        <w:rPr/>
        <w:t>Specialists</w:t>
      </w:r>
    </w:p>
    <w:p>
      <w:pPr>
        <w:pStyle w:val="BodyText"/>
        <w:bidi w:val="0"/>
        <w:jc w:val="left"/>
        <w:rPr/>
      </w:pPr>
      <w:r>
        <w:rPr>
          <w:rStyle w:val="SourceText"/>
        </w:rPr>
        <w:t>crew_state.SPECIALIST_ROLES</w:t>
      </w:r>
      <w:r>
        <w:rPr/>
        <w:t xml:space="preserve"> lists 40 roles with no tier, onboarded per repository with </w:t>
      </w:r>
      <w:r>
        <w:rPr>
          <w:rStyle w:val="SourceText"/>
        </w:rPr>
        <w:t>/crew:pm onboard &lt;role&gt;</w:t>
      </w:r>
      <w:r>
        <w:rPr/>
        <w:t xml:space="preserve"> and justified by the stack (the agent file names the file that proves it). Onboarding a specialist never moves the tier. Groups: languages and frameworks (python-pro, node-developer, php-pro, rust-engineer, react-specialist, angular-architect, dotnet-core-expert, dotnet-framework-4.8-expert, sql-pro, graphql-architect, backend-developer, api-designer); cloud and infrastructure (terraform-engineer, network-engineer, platform-engineer, microservices-architect, legacy-modernizer, database-administrator, git-workflow-manager, workflow-orchestrator, multi-agent-coordinator); Microsoft platform (windows-infra-admin, exchange-online-specialist, sharepoint-developer, power-automate-specialist, powershell-5.1-expert, powershell-7-expert, powershell-security-hardening, ad-security-reviewer); security and compliance (penetration-tester, compliance-auditor, code-reviewer, architect-reviewer, fintech-engineer, payment-integration); review and writing (qa-researcher, kimi-consult, ai-writing-auditor, skill-author, design-bridge).</w:t>
      </w:r>
    </w:p>
    <w:p>
      <w:pPr>
        <w:pStyle w:val="Heading3"/>
        <w:bidi w:val="0"/>
        <w:jc w:val="left"/>
        <w:rPr/>
      </w:pPr>
      <w:r>
        <w:rPr/>
        <w:t>Model Routing</w:t>
      </w:r>
    </w:p>
    <w:p>
      <w:pPr>
        <w:pStyle w:val="BodyText"/>
        <w:bidi w:val="0"/>
        <w:jc w:val="left"/>
        <w:rPr/>
      </w:pPr>
      <w:r>
        <w:rPr>
          <w:rStyle w:val="SourceText"/>
        </w:rPr>
        <w:t>crew_config.py --models</w:t>
      </w:r>
      <w:r>
        <w:rPr/>
        <w:t xml:space="preserve"> prints the effective provider, model and family per role, which fallbacks are armed, and whether the self-review guard bars anything. The QA order tries Codex first, then a Copilot model, then Claude; a reviewer of the same family as the diff's author is struck (</w:t>
      </w:r>
      <w:r>
        <w:rPr>
          <w:rStyle w:val="SourceText"/>
        </w:rPr>
        <w:t>qa.order</w:t>
      </w:r>
      <w:r>
        <w:rPr/>
        <w:t xml:space="preserve"> walked by family, never a fixed list of three names). Config keys </w:t>
      </w:r>
      <w:r>
        <w:rPr>
          <w:rStyle w:val="SourceText"/>
        </w:rPr>
        <w:t>dev.roles.*</w:t>
      </w:r>
      <w:r>
        <w:rPr/>
        <w:t xml:space="preserve">, </w:t>
      </w:r>
      <w:r>
        <w:rPr>
          <w:rStyle w:val="SourceText"/>
        </w:rPr>
        <w:t>qa.roles.*</w:t>
      </w:r>
      <w:r>
        <w:rPr/>
        <w:t xml:space="preserve">, </w:t>
      </w:r>
      <w:r>
        <w:rPr>
          <w:rStyle w:val="SourceText"/>
        </w:rPr>
        <w:t>dev.fallback</w:t>
      </w:r>
      <w:r>
        <w:rPr/>
        <w:t xml:space="preserve">, </w:t>
      </w:r>
      <w:r>
        <w:rPr>
          <w:rStyle w:val="SourceText"/>
        </w:rPr>
        <w:t>qa.fallback</w:t>
      </w:r>
      <w:r>
        <w:rPr/>
        <w:t xml:space="preserve">, both open tables so an unlisted role is still settable. The Agent tool's </w:t>
      </w:r>
      <w:r>
        <w:rPr>
          <w:rStyle w:val="SourceText"/>
        </w:rPr>
        <w:t>model</w:t>
      </w:r>
      <w:r>
        <w:rPr/>
        <w:t xml:space="preserve"> override applies per dispatch.</w:t>
      </w:r>
    </w:p>
    <w:p>
      <w:pPr>
        <w:pStyle w:val="Heading2"/>
        <w:bidi w:val="0"/>
        <w:jc w:val="left"/>
        <w:rPr/>
      </w:pPr>
      <w:r>
        <w:rPr/>
        <w:t>3. Commands</w:t>
      </w:r>
    </w:p>
    <w:tbl>
      <w:tblPr>
        <w:tblW w:w="5000" w:type="pct"/>
        <w:jc w:val="left"/>
        <w:tblInd w:w="28" w:type="dxa"/>
        <w:tblLayout w:type="fixed"/>
        <w:tblCellMar>
          <w:top w:w="28" w:type="dxa"/>
          <w:left w:w="28" w:type="dxa"/>
          <w:bottom w:w="28" w:type="dxa"/>
          <w:right w:w="28" w:type="dxa"/>
        </w:tblCellMar>
      </w:tblPr>
      <w:tblGrid>
        <w:gridCol w:w="2202"/>
        <w:gridCol w:w="6195"/>
        <w:gridCol w:w="2942"/>
      </w:tblGrid>
      <w:tr>
        <w:trPr>
          <w:tblHeader w:val="true"/>
        </w:trPr>
        <w:tc>
          <w:tcPr>
            <w:tcW w:w="2202" w:type="dxa"/>
            <w:tcBorders/>
            <w:vAlign w:val="center"/>
          </w:tcPr>
          <w:p>
            <w:pPr>
              <w:pStyle w:val="TableHeading"/>
              <w:suppressLineNumbers/>
              <w:shd w:fill="1F4E79" w:val="clear"/>
              <w:bidi w:val="0"/>
              <w:spacing w:before="120" w:after="120"/>
              <w:jc w:val="left"/>
              <w:rPr/>
            </w:pPr>
            <w:r>
              <w:rPr/>
              <w:t>Command</w:t>
            </w:r>
          </w:p>
        </w:tc>
        <w:tc>
          <w:tcPr>
            <w:tcW w:w="6195" w:type="dxa"/>
            <w:tcBorders/>
            <w:vAlign w:val="center"/>
          </w:tcPr>
          <w:p>
            <w:pPr>
              <w:pStyle w:val="TableHeading"/>
              <w:suppressLineNumbers/>
              <w:shd w:fill="1F4E79" w:val="clear"/>
              <w:bidi w:val="0"/>
              <w:spacing w:before="120" w:after="120"/>
              <w:jc w:val="left"/>
              <w:rPr/>
            </w:pPr>
            <w:r>
              <w:rPr/>
              <w:t>Function</w:t>
            </w:r>
          </w:p>
        </w:tc>
        <w:tc>
          <w:tcPr>
            <w:tcW w:w="2942" w:type="dxa"/>
            <w:tcBorders/>
            <w:vAlign w:val="center"/>
          </w:tcPr>
          <w:p>
            <w:pPr>
              <w:pStyle w:val="TableHeading"/>
              <w:suppressLineNumbers/>
              <w:shd w:fill="1F4E79" w:val="clear"/>
              <w:bidi w:val="0"/>
              <w:spacing w:before="120" w:after="120"/>
              <w:jc w:val="left"/>
              <w:rPr/>
            </w:pPr>
            <w:r>
              <w:rPr/>
              <w:t>Reads / writes</w:t>
            </w:r>
          </w:p>
        </w:tc>
      </w:tr>
      <w:tr>
        <w:trPr/>
        <w:tc>
          <w:tcPr>
            <w:tcW w:w="2202" w:type="dxa"/>
            <w:tcBorders/>
            <w:vAlign w:val="center"/>
          </w:tcPr>
          <w:p>
            <w:pPr>
              <w:pStyle w:val="TableContents"/>
              <w:bidi w:val="0"/>
              <w:spacing w:before="120" w:after="120"/>
              <w:jc w:val="left"/>
              <w:rPr/>
            </w:pPr>
            <w:r>
              <w:rPr/>
              <w:t>init</w:t>
            </w:r>
          </w:p>
        </w:tc>
        <w:tc>
          <w:tcPr>
            <w:tcW w:w="6195" w:type="dxa"/>
            <w:tcBorders/>
            <w:vAlign w:val="center"/>
          </w:tcPr>
          <w:p>
            <w:pPr>
              <w:pStyle w:val="TableContents"/>
              <w:bidi w:val="0"/>
              <w:spacing w:before="120" w:after="120"/>
              <w:jc w:val="left"/>
              <w:rPr/>
            </w:pPr>
            <w:r>
              <w:rPr/>
              <w:t>Phased, resumable setup; each phase asks before writing.</w:t>
            </w:r>
          </w:p>
        </w:tc>
        <w:tc>
          <w:tcPr>
            <w:tcW w:w="2942" w:type="dxa"/>
            <w:tcBorders/>
            <w:vAlign w:val="center"/>
          </w:tcPr>
          <w:p>
            <w:pPr>
              <w:pStyle w:val="TableContents"/>
              <w:bidi w:val="0"/>
              <w:spacing w:before="120" w:after="120"/>
              <w:jc w:val="left"/>
              <w:rPr/>
            </w:pPr>
            <w:r>
              <w:rPr>
                <w:rStyle w:val="SourceText"/>
              </w:rPr>
              <w:t>.crew/config.json</w:t>
            </w:r>
            <w:r>
              <w:rPr/>
              <w:t xml:space="preserve">, </w:t>
            </w:r>
            <w:r>
              <w:rPr>
                <w:rStyle w:val="SourceText"/>
              </w:rPr>
              <w:t>.crew/verify.json</w:t>
            </w:r>
            <w:r>
              <w:rPr/>
              <w:t xml:space="preserve">, </w:t>
            </w:r>
            <w:r>
              <w:rPr>
                <w:rStyle w:val="SourceText"/>
              </w:rPr>
              <w:t>_verify/</w:t>
            </w:r>
            <w:r>
              <w:rPr/>
              <w:t>, CLAUDE.md template.</w:t>
            </w:r>
          </w:p>
        </w:tc>
      </w:tr>
      <w:tr>
        <w:trPr/>
        <w:tc>
          <w:tcPr>
            <w:tcW w:w="2202" w:type="dxa"/>
            <w:tcBorders/>
            <w:vAlign w:val="center"/>
          </w:tcPr>
          <w:p>
            <w:pPr>
              <w:pStyle w:val="TableContents"/>
              <w:bidi w:val="0"/>
              <w:spacing w:before="120" w:after="120"/>
              <w:jc w:val="left"/>
              <w:rPr/>
            </w:pPr>
            <w:r>
              <w:rPr/>
              <w:t>onboard</w:t>
            </w:r>
          </w:p>
        </w:tc>
        <w:tc>
          <w:tcPr>
            <w:tcW w:w="6195" w:type="dxa"/>
            <w:tcBorders/>
            <w:vAlign w:val="center"/>
          </w:tcPr>
          <w:p>
            <w:pPr>
              <w:pStyle w:val="TableContents"/>
              <w:bidi w:val="0"/>
              <w:spacing w:before="120" w:after="120"/>
              <w:jc w:val="left"/>
              <w:rPr/>
            </w:pPr>
            <w:r>
              <w:rPr/>
              <w:t xml:space="preserve">Writes the code map; </w:t>
            </w:r>
            <w:r>
              <w:rPr>
                <w:rStyle w:val="SourceText"/>
              </w:rPr>
              <w:t>--refresh &lt;subsystem&gt;</w:t>
            </w:r>
            <w:r>
              <w:rPr/>
              <w:t xml:space="preserve"> re-derives one file against the graph.</w:t>
            </w:r>
          </w:p>
        </w:tc>
        <w:tc>
          <w:tcPr>
            <w:tcW w:w="2942" w:type="dxa"/>
            <w:tcBorders/>
            <w:vAlign w:val="center"/>
          </w:tcPr>
          <w:p>
            <w:pPr>
              <w:pStyle w:val="TableContents"/>
              <w:bidi w:val="0"/>
              <w:spacing w:before="120" w:after="120"/>
              <w:jc w:val="left"/>
              <w:rPr/>
            </w:pPr>
            <w:r>
              <w:rPr>
                <w:rStyle w:val="SourceText"/>
              </w:rPr>
              <w:t>.crew/codemap/*.md</w:t>
            </w:r>
            <w:r>
              <w:rPr/>
              <w:t xml:space="preserve"> with DERIVED/JUDGEMENT markers and </w:t>
            </w:r>
            <w:r>
              <w:rPr>
                <w:rStyle w:val="SourceText"/>
              </w:rPr>
              <w:t>anchor:</w:t>
            </w:r>
            <w:r>
              <w:rPr/>
              <w:t xml:space="preserve"> commits.</w:t>
            </w:r>
          </w:p>
        </w:tc>
      </w:tr>
      <w:tr>
        <w:trPr/>
        <w:tc>
          <w:tcPr>
            <w:tcW w:w="2202" w:type="dxa"/>
            <w:tcBorders/>
            <w:vAlign w:val="center"/>
          </w:tcPr>
          <w:p>
            <w:pPr>
              <w:pStyle w:val="TableContents"/>
              <w:bidi w:val="0"/>
              <w:spacing w:before="120" w:after="120"/>
              <w:jc w:val="left"/>
              <w:rPr/>
            </w:pPr>
            <w:r>
              <w:rPr/>
              <w:t>ticket, work, split</w:t>
            </w:r>
          </w:p>
        </w:tc>
        <w:tc>
          <w:tcPr>
            <w:tcW w:w="6195" w:type="dxa"/>
            <w:tcBorders/>
            <w:vAlign w:val="center"/>
          </w:tcPr>
          <w:p>
            <w:pPr>
              <w:pStyle w:val="TableContents"/>
              <w:bidi w:val="0"/>
              <w:spacing w:before="120" w:after="120"/>
              <w:jc w:val="left"/>
              <w:rPr/>
            </w:pPr>
            <w:r>
              <w:rPr/>
              <w:t>Scope; implement, review, gate end to end; split an oversized Jira ticket.</w:t>
            </w:r>
          </w:p>
        </w:tc>
        <w:tc>
          <w:tcPr>
            <w:tcW w:w="2942" w:type="dxa"/>
            <w:tcBorders/>
            <w:vAlign w:val="center"/>
          </w:tcPr>
          <w:p>
            <w:pPr>
              <w:pStyle w:val="TableContents"/>
              <w:bidi w:val="0"/>
              <w:spacing w:before="120" w:after="120"/>
              <w:jc w:val="left"/>
              <w:rPr/>
            </w:pPr>
            <w:r>
              <w:rPr>
                <w:rStyle w:val="SourceText"/>
              </w:rPr>
              <w:t>.work/tickets/</w:t>
            </w:r>
            <w:r>
              <w:rPr/>
              <w:t>, tracker via MCP.</w:t>
            </w:r>
          </w:p>
        </w:tc>
      </w:tr>
      <w:tr>
        <w:trPr/>
        <w:tc>
          <w:tcPr>
            <w:tcW w:w="2202" w:type="dxa"/>
            <w:tcBorders/>
            <w:vAlign w:val="center"/>
          </w:tcPr>
          <w:p>
            <w:pPr>
              <w:pStyle w:val="TableContents"/>
              <w:bidi w:val="0"/>
              <w:spacing w:before="120" w:after="120"/>
              <w:jc w:val="left"/>
              <w:rPr/>
            </w:pPr>
            <w:r>
              <w:rPr/>
              <w:t>review</w:t>
            </w:r>
          </w:p>
        </w:tc>
        <w:tc>
          <w:tcPr>
            <w:tcW w:w="6195" w:type="dxa"/>
            <w:tcBorders/>
            <w:vAlign w:val="center"/>
          </w:tcPr>
          <w:p>
            <w:pPr>
              <w:pStyle w:val="TableContents"/>
              <w:bidi w:val="0"/>
              <w:spacing w:before="120" w:after="120"/>
              <w:jc w:val="left"/>
              <w:rPr/>
            </w:pPr>
            <w:r>
              <w:rPr/>
              <w:t>Hostile QA on the diff: Codex, Copilot or a fresh Claude context, first that probes clean; specialist reviewers by path rule.</w:t>
            </w:r>
          </w:p>
        </w:tc>
        <w:tc>
          <w:tcPr>
            <w:tcW w:w="2942" w:type="dxa"/>
            <w:tcBorders/>
            <w:vAlign w:val="center"/>
          </w:tcPr>
          <w:p>
            <w:pPr>
              <w:pStyle w:val="TableContents"/>
              <w:bidi w:val="0"/>
              <w:spacing w:before="120" w:after="120"/>
              <w:jc w:val="left"/>
              <w:rPr/>
            </w:pPr>
            <w:r>
              <w:rPr>
                <w:rStyle w:val="SourceText"/>
              </w:rPr>
              <w:t>.work/review/&lt;name&gt;/{diff,prompt,out}.txt</w:t>
            </w:r>
            <w:r>
              <w:rPr/>
              <w:t xml:space="preserve">; a row in </w:t>
            </w:r>
            <w:r>
              <w:rPr>
                <w:rStyle w:val="SourceText"/>
              </w:rPr>
              <w:t>.crew/metrics.md</w:t>
            </w:r>
            <w:r>
              <w:rPr/>
              <w:t>.</w:t>
            </w:r>
          </w:p>
        </w:tc>
      </w:tr>
      <w:tr>
        <w:trPr/>
        <w:tc>
          <w:tcPr>
            <w:tcW w:w="2202" w:type="dxa"/>
            <w:tcBorders/>
            <w:vAlign w:val="center"/>
          </w:tcPr>
          <w:p>
            <w:pPr>
              <w:pStyle w:val="TableContents"/>
              <w:bidi w:val="0"/>
              <w:spacing w:before="120" w:after="120"/>
              <w:jc w:val="left"/>
              <w:rPr/>
            </w:pPr>
            <w:r>
              <w:rPr/>
              <w:t>verify</w:t>
            </w:r>
          </w:p>
        </w:tc>
        <w:tc>
          <w:tcPr>
            <w:tcW w:w="6195" w:type="dxa"/>
            <w:tcBorders/>
            <w:vAlign w:val="center"/>
          </w:tcPr>
          <w:p>
            <w:pPr>
              <w:pStyle w:val="TableContents"/>
              <w:bidi w:val="0"/>
              <w:spacing w:before="120" w:after="120"/>
              <w:jc w:val="left"/>
              <w:rPr/>
            </w:pPr>
            <w:r>
              <w:rPr/>
              <w:t xml:space="preserve">Builds the verification map from evidence; </w:t>
            </w:r>
            <w:r>
              <w:rPr>
                <w:rStyle w:val="SourceText"/>
              </w:rPr>
              <w:t>--all</w:t>
            </w:r>
            <w:r>
              <w:rPr/>
              <w:t xml:space="preserve"> runs the whole map with no budget; </w:t>
            </w:r>
            <w:r>
              <w:rPr>
                <w:rStyle w:val="SourceText"/>
              </w:rPr>
              <w:t>--price</w:t>
            </w:r>
            <w:r>
              <w:rPr/>
              <w:t xml:space="preserve"> measures and writes </w:t>
            </w:r>
            <w:r>
              <w:rPr>
                <w:rStyle w:val="SourceText"/>
              </w:rPr>
              <w:t>seconds</w:t>
            </w:r>
            <w:r>
              <w:rPr/>
              <w:t>.</w:t>
            </w:r>
          </w:p>
        </w:tc>
        <w:tc>
          <w:tcPr>
            <w:tcW w:w="2942" w:type="dxa"/>
            <w:tcBorders/>
            <w:vAlign w:val="center"/>
          </w:tcPr>
          <w:p>
            <w:pPr>
              <w:pStyle w:val="TableContents"/>
              <w:bidi w:val="0"/>
              <w:spacing w:before="120" w:after="120"/>
              <w:jc w:val="left"/>
              <w:rPr/>
            </w:pPr>
            <w:r>
              <w:rPr>
                <w:rStyle w:val="SourceText"/>
              </w:rPr>
              <w:t>.crew/verify.json</w:t>
            </w:r>
            <w:r>
              <w:rPr/>
              <w:t xml:space="preserve"> (tracked).</w:t>
            </w:r>
          </w:p>
        </w:tc>
      </w:tr>
      <w:tr>
        <w:trPr/>
        <w:tc>
          <w:tcPr>
            <w:tcW w:w="2202" w:type="dxa"/>
            <w:tcBorders/>
            <w:vAlign w:val="center"/>
          </w:tcPr>
          <w:p>
            <w:pPr>
              <w:pStyle w:val="TableContents"/>
              <w:bidi w:val="0"/>
              <w:spacing w:before="120" w:after="120"/>
              <w:jc w:val="left"/>
              <w:rPr/>
            </w:pPr>
            <w:r>
              <w:rPr/>
              <w:t>gate</w:t>
            </w:r>
          </w:p>
        </w:tc>
        <w:tc>
          <w:tcPr>
            <w:tcW w:w="6195" w:type="dxa"/>
            <w:tcBorders/>
            <w:vAlign w:val="center"/>
          </w:tcPr>
          <w:p>
            <w:pPr>
              <w:pStyle w:val="TableContents"/>
              <w:bidi w:val="0"/>
              <w:spacing w:before="120" w:after="120"/>
              <w:jc w:val="left"/>
              <w:rPr/>
            </w:pPr>
            <w:r>
              <w:rPr/>
              <w:t>Exports, removes and restores branch protection.</w:t>
            </w:r>
          </w:p>
        </w:tc>
        <w:tc>
          <w:tcPr>
            <w:tcW w:w="2942" w:type="dxa"/>
            <w:tcBorders/>
            <w:vAlign w:val="center"/>
          </w:tcPr>
          <w:p>
            <w:pPr>
              <w:pStyle w:val="TableContents"/>
              <w:bidi w:val="0"/>
              <w:spacing w:before="120" w:after="120"/>
              <w:jc w:val="left"/>
              <w:rPr/>
            </w:pPr>
            <w:r>
              <w:rPr/>
              <w:t>Bitbucket or GitHub API; export file.</w:t>
            </w:r>
          </w:p>
        </w:tc>
      </w:tr>
      <w:tr>
        <w:trPr/>
        <w:tc>
          <w:tcPr>
            <w:tcW w:w="2202" w:type="dxa"/>
            <w:tcBorders/>
            <w:vAlign w:val="center"/>
          </w:tcPr>
          <w:p>
            <w:pPr>
              <w:pStyle w:val="TableContents"/>
              <w:bidi w:val="0"/>
              <w:spacing w:before="120" w:after="120"/>
              <w:jc w:val="left"/>
              <w:rPr/>
            </w:pPr>
            <w:r>
              <w:rPr/>
              <w:t>promote</w:t>
            </w:r>
          </w:p>
        </w:tc>
        <w:tc>
          <w:tcPr>
            <w:tcW w:w="6195" w:type="dxa"/>
            <w:tcBorders/>
            <w:vAlign w:val="center"/>
          </w:tcPr>
          <w:p>
            <w:pPr>
              <w:pStyle w:val="TableContents"/>
              <w:bidi w:val="0"/>
              <w:spacing w:before="120" w:after="120"/>
              <w:jc w:val="left"/>
              <w:rPr/>
            </w:pPr>
            <w:r>
              <w:rPr/>
              <w:t xml:space="preserve">Promotes to the next environment; refuses without a </w:t>
            </w:r>
            <w:r>
              <w:rPr>
                <w:rStyle w:val="SourceText"/>
              </w:rPr>
              <w:t>.work/PROMOTIONS.md</w:t>
            </w:r>
            <w:r>
              <w:rPr/>
              <w:t xml:space="preserve"> row and, if </w:t>
            </w:r>
            <w:r>
              <w:rPr>
                <w:rStyle w:val="SourceText"/>
              </w:rPr>
              <w:t>change.requireForProduction</w:t>
            </w:r>
            <w:r>
              <w:rPr/>
              <w:t>, without a change request.</w:t>
            </w:r>
          </w:p>
        </w:tc>
        <w:tc>
          <w:tcPr>
            <w:tcW w:w="2942" w:type="dxa"/>
            <w:tcBorders/>
            <w:vAlign w:val="center"/>
          </w:tcPr>
          <w:p>
            <w:pPr>
              <w:pStyle w:val="TableContents"/>
              <w:bidi w:val="0"/>
              <w:spacing w:before="120" w:after="120"/>
              <w:jc w:val="left"/>
              <w:rPr/>
            </w:pPr>
            <w:r>
              <w:rPr>
                <w:rStyle w:val="SourceText"/>
              </w:rPr>
              <w:t>.work/PROMOTIONS.md</w:t>
            </w:r>
            <w:r>
              <w:rPr/>
              <w:t>.</w:t>
            </w:r>
          </w:p>
        </w:tc>
      </w:tr>
      <w:tr>
        <w:trPr/>
        <w:tc>
          <w:tcPr>
            <w:tcW w:w="2202" w:type="dxa"/>
            <w:tcBorders/>
            <w:vAlign w:val="center"/>
          </w:tcPr>
          <w:p>
            <w:pPr>
              <w:pStyle w:val="TableContents"/>
              <w:bidi w:val="0"/>
              <w:spacing w:before="120" w:after="120"/>
              <w:jc w:val="left"/>
              <w:rPr/>
            </w:pPr>
            <w:r>
              <w:rPr/>
              <w:t>change</w:t>
            </w:r>
          </w:p>
        </w:tc>
        <w:tc>
          <w:tcPr>
            <w:tcW w:w="6195" w:type="dxa"/>
            <w:tcBorders/>
            <w:vAlign w:val="center"/>
          </w:tcPr>
          <w:p>
            <w:pPr>
              <w:pStyle w:val="TableContents"/>
              <w:bidi w:val="0"/>
              <w:spacing w:before="120" w:after="120"/>
              <w:jc w:val="left"/>
              <w:rPr/>
            </w:pPr>
            <w:r>
              <w:rPr/>
              <w:t xml:space="preserve">Files a change request in SDP, Jira or </w:t>
            </w:r>
            <w:r>
              <w:rPr>
                <w:rStyle w:val="SourceText"/>
              </w:rPr>
              <w:t>.work/changes/</w:t>
            </w:r>
            <w:r>
              <w:rPr/>
              <w:t>; refuses while any template question is unanswered.</w:t>
            </w:r>
          </w:p>
        </w:tc>
        <w:tc>
          <w:tcPr>
            <w:tcW w:w="2942" w:type="dxa"/>
            <w:tcBorders/>
            <w:vAlign w:val="center"/>
          </w:tcPr>
          <w:p>
            <w:pPr>
              <w:pStyle w:val="TableContents"/>
              <w:bidi w:val="0"/>
              <w:spacing w:before="120" w:after="120"/>
              <w:jc w:val="left"/>
              <w:rPr/>
            </w:pPr>
            <w:r>
              <w:rPr/>
              <w:t>Tracker via MCP.</w:t>
            </w:r>
          </w:p>
        </w:tc>
      </w:tr>
      <w:tr>
        <w:trPr/>
        <w:tc>
          <w:tcPr>
            <w:tcW w:w="2202" w:type="dxa"/>
            <w:tcBorders/>
            <w:vAlign w:val="center"/>
          </w:tcPr>
          <w:p>
            <w:pPr>
              <w:pStyle w:val="TableContents"/>
              <w:bidi w:val="0"/>
              <w:spacing w:before="120" w:after="120"/>
              <w:jc w:val="left"/>
              <w:rPr/>
            </w:pPr>
            <w:r>
              <w:rPr/>
              <w:t>emergency</w:t>
            </w:r>
          </w:p>
        </w:tc>
        <w:tc>
          <w:tcPr>
            <w:tcW w:w="6195" w:type="dxa"/>
            <w:tcBorders/>
            <w:vAlign w:val="center"/>
          </w:tcPr>
          <w:p>
            <w:pPr>
              <w:pStyle w:val="TableContents"/>
              <w:bidi w:val="0"/>
              <w:spacing w:before="120" w:after="120"/>
              <w:jc w:val="left"/>
              <w:rPr/>
            </w:pPr>
            <w:r>
              <w:rPr/>
              <w:t>Stands gates down, opens parallel lanes, records what was skipped.</w:t>
            </w:r>
          </w:p>
        </w:tc>
        <w:tc>
          <w:tcPr>
            <w:tcW w:w="2942" w:type="dxa"/>
            <w:tcBorders/>
            <w:vAlign w:val="center"/>
          </w:tcPr>
          <w:p>
            <w:pPr>
              <w:pStyle w:val="TableContents"/>
              <w:bidi w:val="0"/>
              <w:spacing w:before="120" w:after="120"/>
              <w:jc w:val="left"/>
              <w:rPr/>
            </w:pPr>
            <w:r>
              <w:rPr>
                <w:rStyle w:val="SourceText"/>
              </w:rPr>
              <w:t>.crew/incidents/</w:t>
            </w:r>
            <w:r>
              <w:rPr/>
              <w:t>.</w:t>
            </w:r>
          </w:p>
        </w:tc>
      </w:tr>
      <w:tr>
        <w:trPr/>
        <w:tc>
          <w:tcPr>
            <w:tcW w:w="2202" w:type="dxa"/>
            <w:tcBorders/>
            <w:vAlign w:val="center"/>
          </w:tcPr>
          <w:p>
            <w:pPr>
              <w:pStyle w:val="TableContents"/>
              <w:bidi w:val="0"/>
              <w:spacing w:before="120" w:after="120"/>
              <w:jc w:val="left"/>
              <w:rPr/>
            </w:pPr>
            <w:r>
              <w:rPr/>
              <w:t>debug</w:t>
            </w:r>
          </w:p>
        </w:tc>
        <w:tc>
          <w:tcPr>
            <w:tcW w:w="6195" w:type="dxa"/>
            <w:tcBorders/>
            <w:vAlign w:val="center"/>
          </w:tcPr>
          <w:p>
            <w:pPr>
              <w:pStyle w:val="TableContents"/>
              <w:bidi w:val="0"/>
              <w:spacing w:before="120" w:after="120"/>
              <w:jc w:val="left"/>
              <w:rPr/>
            </w:pPr>
            <w:r>
              <w:rPr/>
              <w:t>Systematic debugging: read, reproduce, isolate, prove, then fix. Adapted from superpowers (MIT).</w:t>
            </w:r>
          </w:p>
        </w:tc>
        <w:tc>
          <w:tcPr>
            <w:tcW w:w="2942" w:type="dxa"/>
            <w:tcBorders/>
            <w:vAlign w:val="center"/>
          </w:tcPr>
          <w:p>
            <w:pPr>
              <w:pStyle w:val="TableContents"/>
              <w:bidi w:val="0"/>
              <w:spacing w:before="120" w:after="120"/>
              <w:jc w:val="left"/>
              <w:rPr>
                <w:sz w:val="4"/>
                <w:szCs w:val="4"/>
              </w:rPr>
            </w:pPr>
            <w:r>
              <w:rPr>
                <w:sz w:val="4"/>
                <w:szCs w:val="4"/>
              </w:rPr>
            </w:r>
          </w:p>
        </w:tc>
      </w:tr>
      <w:tr>
        <w:trPr/>
        <w:tc>
          <w:tcPr>
            <w:tcW w:w="2202" w:type="dxa"/>
            <w:tcBorders/>
            <w:vAlign w:val="center"/>
          </w:tcPr>
          <w:p>
            <w:pPr>
              <w:pStyle w:val="TableContents"/>
              <w:bidi w:val="0"/>
              <w:spacing w:before="120" w:after="120"/>
              <w:jc w:val="left"/>
              <w:rPr/>
            </w:pPr>
            <w:r>
              <w:rPr/>
              <w:t>pm, roster, model, scale, config, upgrade</w:t>
            </w:r>
          </w:p>
        </w:tc>
        <w:tc>
          <w:tcPr>
            <w:tcW w:w="6195" w:type="dxa"/>
            <w:tcBorders/>
            <w:vAlign w:val="center"/>
          </w:tcPr>
          <w:p>
            <w:pPr>
              <w:pStyle w:val="TableContents"/>
              <w:bidi w:val="0"/>
              <w:spacing w:before="120" w:after="120"/>
              <w:jc w:val="left"/>
              <w:rPr/>
            </w:pPr>
            <w:r>
              <w:rPr/>
              <w:t xml:space="preserve">Manager conversation; role listing; per-role model set and probe; grow or shrink recommendation; config provenance; schema migration (currently to schema </w:t>
            </w:r>
            <w:r>
              <w:rPr>
                <w:rStyle w:val="SourceText"/>
              </w:rPr>
              <w:t>crew_state.SCHEMA_CURRENT</w:t>
            </w:r>
            <w:r>
              <w:rPr/>
              <w:t xml:space="preserve"> = 7).</w:t>
            </w:r>
          </w:p>
        </w:tc>
        <w:tc>
          <w:tcPr>
            <w:tcW w:w="2942" w:type="dxa"/>
            <w:tcBorders/>
            <w:vAlign w:val="center"/>
          </w:tcPr>
          <w:p>
            <w:pPr>
              <w:pStyle w:val="TableContents"/>
              <w:bidi w:val="0"/>
              <w:spacing w:before="120" w:after="120"/>
              <w:jc w:val="left"/>
              <w:rPr/>
            </w:pPr>
            <w:r>
              <w:rPr>
                <w:rStyle w:val="SourceText"/>
              </w:rPr>
              <w:t>.crew/config.json</w:t>
            </w:r>
            <w:r>
              <w:rPr/>
              <w:t xml:space="preserve">, </w:t>
            </w:r>
            <w:r>
              <w:rPr>
                <w:rStyle w:val="SourceText"/>
              </w:rPr>
              <w:t>~/.claude/crew/config.json</w:t>
            </w:r>
            <w:r>
              <w:rPr/>
              <w:t>.</w:t>
            </w:r>
          </w:p>
        </w:tc>
      </w:tr>
      <w:tr>
        <w:trPr/>
        <w:tc>
          <w:tcPr>
            <w:tcW w:w="2202" w:type="dxa"/>
            <w:tcBorders/>
            <w:vAlign w:val="center"/>
          </w:tcPr>
          <w:p>
            <w:pPr>
              <w:pStyle w:val="TableContents"/>
              <w:bidi w:val="0"/>
              <w:spacing w:before="120" w:after="120"/>
              <w:jc w:val="left"/>
              <w:rPr/>
            </w:pPr>
            <w:r>
              <w:rPr/>
              <w:t>plan, survey, docs, reference, diagram, runbook, handoff</w:t>
            </w:r>
          </w:p>
        </w:tc>
        <w:tc>
          <w:tcPr>
            <w:tcW w:w="6195" w:type="dxa"/>
            <w:tcBorders/>
            <w:vAlign w:val="center"/>
          </w:tcPr>
          <w:p>
            <w:pPr>
              <w:pStyle w:val="TableContents"/>
              <w:bidi w:val="0"/>
              <w:spacing w:before="120" w:after="120"/>
              <w:jc w:val="left"/>
              <w:rPr/>
            </w:pPr>
            <w:r>
              <w:rPr/>
              <w:t xml:space="preserve">Second-opinion design; gap survey; docs touched by a change; API/feature reference with anchors; Mermaid diagrams with </w:t>
            </w:r>
            <w:r>
              <w:rPr>
                <w:rStyle w:val="SourceText"/>
              </w:rPr>
              <w:t>%% Anchors:</w:t>
            </w:r>
            <w:r>
              <w:rPr/>
              <w:t>; runbooks; the handoff note.</w:t>
            </w:r>
          </w:p>
        </w:tc>
        <w:tc>
          <w:tcPr>
            <w:tcW w:w="2942" w:type="dxa"/>
            <w:tcBorders/>
            <w:vAlign w:val="center"/>
          </w:tcPr>
          <w:p>
            <w:pPr>
              <w:pStyle w:val="TableContents"/>
              <w:bidi w:val="0"/>
              <w:spacing w:before="120" w:after="120"/>
              <w:jc w:val="left"/>
              <w:rPr/>
            </w:pPr>
            <w:r>
              <w:rPr>
                <w:rStyle w:val="SourceText"/>
              </w:rPr>
              <w:t>docs/</w:t>
            </w:r>
            <w:r>
              <w:rPr/>
              <w:t xml:space="preserve">, </w:t>
            </w:r>
            <w:r>
              <w:rPr>
                <w:rStyle w:val="SourceText"/>
              </w:rPr>
              <w:t>docs/diagrams/</w:t>
            </w:r>
            <w:r>
              <w:rPr/>
              <w:t xml:space="preserve">, </w:t>
            </w:r>
            <w:r>
              <w:rPr>
                <w:rStyle w:val="SourceText"/>
              </w:rPr>
              <w:t>.work/HANDOFF.md</w:t>
            </w:r>
            <w:r>
              <w:rPr/>
              <w:t>.</w:t>
            </w:r>
          </w:p>
        </w:tc>
      </w:tr>
      <w:tr>
        <w:trPr/>
        <w:tc>
          <w:tcPr>
            <w:tcW w:w="2202" w:type="dxa"/>
            <w:tcBorders/>
            <w:vAlign w:val="center"/>
          </w:tcPr>
          <w:p>
            <w:pPr>
              <w:pStyle w:val="TableContents"/>
              <w:bidi w:val="0"/>
              <w:spacing w:before="120" w:after="120"/>
              <w:jc w:val="left"/>
              <w:rPr/>
            </w:pPr>
            <w:r>
              <w:rPr/>
              <w:t>jira-sync, sdp-sync, obsidian-sync</w:t>
            </w:r>
          </w:p>
        </w:tc>
        <w:tc>
          <w:tcPr>
            <w:tcW w:w="6195" w:type="dxa"/>
            <w:tcBorders/>
            <w:vAlign w:val="center"/>
          </w:tcPr>
          <w:p>
            <w:pPr>
              <w:pStyle w:val="TableContents"/>
              <w:bidi w:val="0"/>
              <w:spacing w:before="120" w:after="120"/>
              <w:jc w:val="left"/>
              <w:rPr/>
            </w:pPr>
            <w:r>
              <w:rPr/>
              <w:t>Two-way ticket sync with the local cache.</w:t>
            </w:r>
          </w:p>
        </w:tc>
        <w:tc>
          <w:tcPr>
            <w:tcW w:w="2942" w:type="dxa"/>
            <w:tcBorders/>
            <w:vAlign w:val="center"/>
          </w:tcPr>
          <w:p>
            <w:pPr>
              <w:pStyle w:val="TableContents"/>
              <w:bidi w:val="0"/>
              <w:spacing w:before="120" w:after="120"/>
              <w:jc w:val="left"/>
              <w:rPr/>
            </w:pPr>
            <w:r>
              <w:rPr/>
              <w:t>MCP servers; Obsidian Kanban file.</w:t>
            </w:r>
          </w:p>
        </w:tc>
      </w:tr>
    </w:tbl>
    <w:p>
      <w:pPr>
        <w:pStyle w:val="Heading2"/>
        <w:bidi w:val="0"/>
        <w:jc w:val="left"/>
        <w:rPr/>
      </w:pPr>
      <w:r>
        <w:rPr/>
        <w:t>4. Hooks and Guards</w:t>
      </w:r>
    </w:p>
    <w:tbl>
      <w:tblPr>
        <w:tblW w:w="5000" w:type="pct"/>
        <w:jc w:val="left"/>
        <w:tblInd w:w="28" w:type="dxa"/>
        <w:tblLayout w:type="fixed"/>
        <w:tblCellMar>
          <w:top w:w="28" w:type="dxa"/>
          <w:left w:w="28" w:type="dxa"/>
          <w:bottom w:w="28" w:type="dxa"/>
          <w:right w:w="28" w:type="dxa"/>
        </w:tblCellMar>
      </w:tblPr>
      <w:tblGrid>
        <w:gridCol w:w="1545"/>
        <w:gridCol w:w="1299"/>
        <w:gridCol w:w="2956"/>
        <w:gridCol w:w="5539"/>
      </w:tblGrid>
      <w:tr>
        <w:trPr>
          <w:tblHeader w:val="true"/>
        </w:trPr>
        <w:tc>
          <w:tcPr>
            <w:tcW w:w="1545" w:type="dxa"/>
            <w:tcBorders/>
            <w:vAlign w:val="center"/>
          </w:tcPr>
          <w:p>
            <w:pPr>
              <w:pStyle w:val="TableHeading"/>
              <w:suppressLineNumbers/>
              <w:shd w:fill="1F4E79" w:val="clear"/>
              <w:bidi w:val="0"/>
              <w:spacing w:before="120" w:after="120"/>
              <w:jc w:val="left"/>
              <w:rPr/>
            </w:pPr>
            <w:r>
              <w:rPr/>
              <w:t>Event</w:t>
            </w:r>
          </w:p>
        </w:tc>
        <w:tc>
          <w:tcPr>
            <w:tcW w:w="1299" w:type="dxa"/>
            <w:tcBorders/>
            <w:vAlign w:val="center"/>
          </w:tcPr>
          <w:p>
            <w:pPr>
              <w:pStyle w:val="TableHeading"/>
              <w:suppressLineNumbers/>
              <w:shd w:fill="1F4E79" w:val="clear"/>
              <w:bidi w:val="0"/>
              <w:spacing w:before="120" w:after="120"/>
              <w:jc w:val="left"/>
              <w:rPr/>
            </w:pPr>
            <w:r>
              <w:rPr/>
              <w:t>Matcher</w:t>
            </w:r>
          </w:p>
        </w:tc>
        <w:tc>
          <w:tcPr>
            <w:tcW w:w="2956" w:type="dxa"/>
            <w:tcBorders/>
            <w:vAlign w:val="center"/>
          </w:tcPr>
          <w:p>
            <w:pPr>
              <w:pStyle w:val="TableHeading"/>
              <w:suppressLineNumbers/>
              <w:shd w:fill="1F4E79" w:val="clear"/>
              <w:bidi w:val="0"/>
              <w:spacing w:before="120" w:after="120"/>
              <w:jc w:val="left"/>
              <w:rPr/>
            </w:pPr>
            <w:r>
              <w:rPr/>
              <w:t>Script</w:t>
            </w:r>
          </w:p>
        </w:tc>
        <w:tc>
          <w:tcPr>
            <w:tcW w:w="5539" w:type="dxa"/>
            <w:tcBorders/>
            <w:vAlign w:val="center"/>
          </w:tcPr>
          <w:p>
            <w:pPr>
              <w:pStyle w:val="TableHeading"/>
              <w:suppressLineNumbers/>
              <w:shd w:fill="1F4E79" w:val="clear"/>
              <w:bidi w:val="0"/>
              <w:spacing w:before="120" w:after="120"/>
              <w:jc w:val="left"/>
              <w:rPr/>
            </w:pPr>
            <w:r>
              <w:rPr/>
              <w:t>Behaviour</w:t>
            </w:r>
          </w:p>
        </w:tc>
      </w:tr>
      <w:tr>
        <w:trPr/>
        <w:tc>
          <w:tcPr>
            <w:tcW w:w="1545" w:type="dxa"/>
            <w:tcBorders/>
            <w:vAlign w:val="center"/>
          </w:tcPr>
          <w:p>
            <w:pPr>
              <w:pStyle w:val="TableContents"/>
              <w:bidi w:val="0"/>
              <w:spacing w:before="120" w:after="120"/>
              <w:jc w:val="left"/>
              <w:rPr/>
            </w:pPr>
            <w:r>
              <w:rPr/>
              <w:t>SessionStart</w:t>
            </w:r>
          </w:p>
        </w:tc>
        <w:tc>
          <w:tcPr>
            <w:tcW w:w="1299" w:type="dxa"/>
            <w:tcBorders/>
            <w:vAlign w:val="center"/>
          </w:tcPr>
          <w:p>
            <w:pPr>
              <w:pStyle w:val="TableContents"/>
              <w:bidi w:val="0"/>
              <w:spacing w:before="120" w:after="120"/>
              <w:jc w:val="left"/>
              <w:rPr/>
            </w:pPr>
            <w:r>
              <w:rPr/>
              <w:t>*</w:t>
            </w:r>
          </w:p>
        </w:tc>
        <w:tc>
          <w:tcPr>
            <w:tcW w:w="2956" w:type="dxa"/>
            <w:tcBorders/>
            <w:vAlign w:val="center"/>
          </w:tcPr>
          <w:p>
            <w:pPr>
              <w:pStyle w:val="TableContents"/>
              <w:bidi w:val="0"/>
              <w:spacing w:before="120" w:after="120"/>
              <w:jc w:val="left"/>
              <w:rPr/>
            </w:pPr>
            <w:r>
              <w:rPr/>
              <w:t>pm-brief, platform sync, context resume</w:t>
            </w:r>
          </w:p>
        </w:tc>
        <w:tc>
          <w:tcPr>
            <w:tcW w:w="5539" w:type="dxa"/>
            <w:tcBorders/>
            <w:vAlign w:val="center"/>
          </w:tcPr>
          <w:p>
            <w:pPr>
              <w:pStyle w:val="TableContents"/>
              <w:bidi w:val="0"/>
              <w:spacing w:before="120" w:after="120"/>
              <w:jc w:val="left"/>
              <w:rPr/>
            </w:pPr>
            <w:r>
              <w:rPr/>
              <w:t xml:space="preserve">Injects crew state and any handoff note; corrects </w:t>
            </w:r>
            <w:r>
              <w:rPr>
                <w:rStyle w:val="SourceText"/>
              </w:rPr>
              <w:t>platform.os/shell</w:t>
            </w:r>
            <w:r>
              <w:rPr/>
              <w:t>.</w:t>
            </w:r>
          </w:p>
        </w:tc>
      </w:tr>
      <w:tr>
        <w:trPr/>
        <w:tc>
          <w:tcPr>
            <w:tcW w:w="1545" w:type="dxa"/>
            <w:tcBorders/>
            <w:vAlign w:val="center"/>
          </w:tcPr>
          <w:p>
            <w:pPr>
              <w:pStyle w:val="TableContents"/>
              <w:bidi w:val="0"/>
              <w:spacing w:before="120" w:after="120"/>
              <w:jc w:val="left"/>
              <w:rPr/>
            </w:pPr>
            <w:r>
              <w:rPr/>
              <w:t>PreToolUse</w:t>
            </w:r>
          </w:p>
        </w:tc>
        <w:tc>
          <w:tcPr>
            <w:tcW w:w="1299" w:type="dxa"/>
            <w:tcBorders/>
            <w:vAlign w:val="center"/>
          </w:tcPr>
          <w:p>
            <w:pPr>
              <w:pStyle w:val="TableContents"/>
              <w:bidi w:val="0"/>
              <w:spacing w:before="120" w:after="120"/>
              <w:jc w:val="left"/>
              <w:rPr/>
            </w:pPr>
            <w:r>
              <w:rPr/>
              <w:t>Bash, PowerShell</w:t>
            </w:r>
          </w:p>
        </w:tc>
        <w:tc>
          <w:tcPr>
            <w:tcW w:w="2956" w:type="dxa"/>
            <w:tcBorders/>
            <w:vAlign w:val="center"/>
          </w:tcPr>
          <w:p>
            <w:pPr>
              <w:pStyle w:val="TableContents"/>
              <w:bidi w:val="0"/>
              <w:spacing w:before="120" w:after="120"/>
              <w:jc w:val="left"/>
              <w:rPr/>
            </w:pPr>
            <w:r>
              <w:rPr>
                <w:rStyle w:val="SourceText"/>
              </w:rPr>
              <w:t>crew_guards.py</w:t>
            </w:r>
            <w:r>
              <w:rPr/>
              <w:t xml:space="preserve"> via shell shims</w:t>
            </w:r>
          </w:p>
        </w:tc>
        <w:tc>
          <w:tcPr>
            <w:tcW w:w="5539" w:type="dxa"/>
            <w:tcBorders/>
            <w:vAlign w:val="center"/>
          </w:tcPr>
          <w:p>
            <w:pPr>
              <w:pStyle w:val="TableContents"/>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(block | ask | allow); </w:t>
            </w:r>
            <w:r>
              <w:rPr>
                <w:rStyle w:val="SourceText"/>
              </w:rPr>
              <w:t>guards.prodDatabase</w:t>
            </w:r>
            <w:r>
              <w:rPr/>
              <w:t xml:space="preserve">, </w:t>
            </w:r>
            <w:r>
              <w:rPr>
                <w:rStyle w:val="SourceText"/>
              </w:rPr>
              <w:t>guards.prodServer</w:t>
            </w:r>
            <w:r>
              <w:rPr/>
              <w:t xml:space="preserve"> (none | read | full) against </w:t>
            </w:r>
            <w:r>
              <w:rPr>
                <w:rStyle w:val="SourceText"/>
              </w:rPr>
              <w:t>production.databases/hosts</w:t>
            </w:r>
            <w:r>
              <w:rPr/>
              <w:t>.</w:t>
            </w:r>
          </w:p>
        </w:tc>
      </w:tr>
      <w:tr>
        <w:trPr/>
        <w:tc>
          <w:tcPr>
            <w:tcW w:w="1545" w:type="dxa"/>
            <w:tcBorders/>
            <w:vAlign w:val="center"/>
          </w:tcPr>
          <w:p>
            <w:pPr>
              <w:pStyle w:val="TableContents"/>
              <w:bidi w:val="0"/>
              <w:spacing w:before="120" w:after="120"/>
              <w:jc w:val="left"/>
              <w:rPr/>
            </w:pPr>
            <w:r>
              <w:rPr/>
              <w:t>PreToolUse</w:t>
            </w:r>
          </w:p>
        </w:tc>
        <w:tc>
          <w:tcPr>
            <w:tcW w:w="1299" w:type="dxa"/>
            <w:tcBorders/>
            <w:vAlign w:val="center"/>
          </w:tcPr>
          <w:p>
            <w:pPr>
              <w:pStyle w:val="TableContents"/>
              <w:bidi w:val="0"/>
              <w:spacing w:before="120" w:after="120"/>
              <w:jc w:val="left"/>
              <w:rPr/>
            </w:pPr>
            <w:r>
              <w:rPr/>
              <w:t>Write|Edit</w:t>
            </w:r>
          </w:p>
        </w:tc>
        <w:tc>
          <w:tcPr>
            <w:tcW w:w="2956" w:type="dxa"/>
            <w:tcBorders/>
            <w:vAlign w:val="center"/>
          </w:tcPr>
          <w:p>
            <w:pPr>
              <w:pStyle w:val="TableContents"/>
              <w:bidi w:val="0"/>
              <w:spacing w:before="120" w:after="120"/>
              <w:jc w:val="left"/>
              <w:rPr/>
            </w:pPr>
            <w:r>
              <w:rPr>
                <w:rStyle w:val="SourceText"/>
              </w:rPr>
              <w:t>role_write_guard.py</w:t>
            </w:r>
            <w:r>
              <w:rPr/>
              <w:t xml:space="preserve"> via </w:t>
            </w:r>
            <w:r>
              <w:rPr>
                <w:rStyle w:val="SourceText"/>
              </w:rPr>
              <w:t>role-write-guard.{sh,ps1}</w:t>
            </w:r>
          </w:p>
        </w:tc>
        <w:tc>
          <w:tcPr>
            <w:tcW w:w="5539" w:type="dxa"/>
            <w:tcBorders/>
            <w:vAlign w:val="center"/>
          </w:tcPr>
          <w:p>
            <w:pPr>
              <w:pStyle w:val="TableContents"/>
              <w:bidi w:val="0"/>
              <w:spacing w:before="120" w:after="120"/>
              <w:jc w:val="left"/>
              <w:rPr/>
            </w:pPr>
            <w:r>
              <w:rPr>
                <w:rStyle w:val="SourceText"/>
              </w:rPr>
              <w:t>guards.roleWrites</w:t>
            </w:r>
            <w:r>
              <w:rPr/>
              <w:t xml:space="preserve"> (off by default, per </w:t>
            </w:r>
            <w:r>
              <w:rPr>
                <w:rStyle w:val="SourceText"/>
              </w:rPr>
              <w:t>CONFIG.md</w:t>
            </w:r>
            <w:r>
              <w:rPr/>
              <w:t xml:space="preserve"> §18; block is the floor once enabled). See section 6.</w:t>
            </w:r>
          </w:p>
        </w:tc>
      </w:tr>
      <w:tr>
        <w:trPr/>
        <w:tc>
          <w:tcPr>
            <w:tcW w:w="1545" w:type="dxa"/>
            <w:tcBorders/>
            <w:vAlign w:val="center"/>
          </w:tcPr>
          <w:p>
            <w:pPr>
              <w:pStyle w:val="TableContents"/>
              <w:bidi w:val="0"/>
              <w:spacing w:before="120" w:after="120"/>
              <w:jc w:val="left"/>
              <w:rPr/>
            </w:pPr>
            <w:r>
              <w:rPr/>
              <w:t>PreCompact</w:t>
            </w:r>
          </w:p>
        </w:tc>
        <w:tc>
          <w:tcPr>
            <w:tcW w:w="1299" w:type="dxa"/>
            <w:tcBorders/>
            <w:vAlign w:val="center"/>
          </w:tcPr>
          <w:p>
            <w:pPr>
              <w:pStyle w:val="TableContents"/>
              <w:bidi w:val="0"/>
              <w:spacing w:before="120" w:after="120"/>
              <w:jc w:val="left"/>
              <w:rPr/>
            </w:pPr>
            <w:r>
              <w:rPr/>
              <w:t>*</w:t>
            </w:r>
          </w:p>
        </w:tc>
        <w:tc>
          <w:tcPr>
            <w:tcW w:w="2956" w:type="dxa"/>
            <w:tcBorders/>
            <w:vAlign w:val="center"/>
          </w:tcPr>
          <w:p>
            <w:pPr>
              <w:pStyle w:val="TableContents"/>
              <w:bidi w:val="0"/>
              <w:spacing w:before="120" w:after="120"/>
              <w:jc w:val="left"/>
              <w:rPr/>
            </w:pPr>
            <w:r>
              <w:rPr/>
              <w:t>handoff writer</w:t>
            </w:r>
          </w:p>
        </w:tc>
        <w:tc>
          <w:tcPr>
            <w:tcW w:w="5539" w:type="dxa"/>
            <w:tcBorders/>
            <w:vAlign w:val="center"/>
          </w:tcPr>
          <w:p>
            <w:pPr>
              <w:pStyle w:val="TableContents"/>
              <w:bidi w:val="0"/>
              <w:spacing w:before="120" w:after="120"/>
              <w:jc w:val="left"/>
              <w:rPr/>
            </w:pPr>
            <w:r>
              <w:rPr/>
              <w:t xml:space="preserve">Writes </w:t>
            </w:r>
            <w:r>
              <w:rPr>
                <w:rStyle w:val="SourceText"/>
              </w:rPr>
              <w:t>.work/HANDOFF.md</w:t>
            </w:r>
            <w:r>
              <w:rPr/>
              <w:t xml:space="preserve"> before summarisation.</w:t>
            </w:r>
          </w:p>
        </w:tc>
      </w:tr>
      <w:tr>
        <w:trPr/>
        <w:tc>
          <w:tcPr>
            <w:tcW w:w="1545" w:type="dxa"/>
            <w:tcBorders/>
            <w:vAlign w:val="center"/>
          </w:tcPr>
          <w:p>
            <w:pPr>
              <w:pStyle w:val="TableContents"/>
              <w:bidi w:val="0"/>
              <w:spacing w:before="120" w:after="120"/>
              <w:jc w:val="left"/>
              <w:rPr/>
            </w:pPr>
            <w:r>
              <w:rPr/>
              <w:t>Notification</w:t>
            </w:r>
          </w:p>
        </w:tc>
        <w:tc>
          <w:tcPr>
            <w:tcW w:w="1299" w:type="dxa"/>
            <w:tcBorders/>
            <w:vAlign w:val="center"/>
          </w:tcPr>
          <w:p>
            <w:pPr>
              <w:pStyle w:val="TableContents"/>
              <w:bidi w:val="0"/>
              <w:spacing w:before="120" w:after="120"/>
              <w:jc w:val="left"/>
              <w:rPr/>
            </w:pPr>
            <w:r>
              <w:rPr/>
              <w:t>*</w:t>
            </w:r>
          </w:p>
        </w:tc>
        <w:tc>
          <w:tcPr>
            <w:tcW w:w="2956" w:type="dxa"/>
            <w:tcBorders/>
            <w:vAlign w:val="center"/>
          </w:tcPr>
          <w:p>
            <w:pPr>
              <w:pStyle w:val="TableContents"/>
              <w:bidi w:val="0"/>
              <w:spacing w:before="120" w:after="120"/>
              <w:jc w:val="left"/>
              <w:rPr/>
            </w:pPr>
            <w:r>
              <w:rPr>
                <w:rStyle w:val="SourceText"/>
              </w:rPr>
              <w:t>pm_pulse.py</w:t>
            </w:r>
          </w:p>
        </w:tc>
        <w:tc>
          <w:tcPr>
            <w:tcW w:w="5539" w:type="dxa"/>
            <w:tcBorders/>
            <w:vAlign w:val="center"/>
          </w:tcPr>
          <w:p>
            <w:pPr>
              <w:pStyle w:val="TableContents"/>
              <w:bidi w:val="0"/>
              <w:spacing w:before="120" w:after="120"/>
              <w:jc w:val="left"/>
              <w:rPr/>
            </w:pPr>
            <w:r>
              <w:rPr/>
              <w:t>Re-briefs the PM with triggers.</w:t>
            </w:r>
          </w:p>
        </w:tc>
      </w:tr>
      <w:tr>
        <w:trPr/>
        <w:tc>
          <w:tcPr>
            <w:tcW w:w="1545" w:type="dxa"/>
            <w:tcBorders/>
            <w:vAlign w:val="center"/>
          </w:tcPr>
          <w:p>
            <w:pPr>
              <w:pStyle w:val="TableContents"/>
              <w:bidi w:val="0"/>
              <w:spacing w:before="120" w:after="120"/>
              <w:jc w:val="left"/>
              <w:rPr/>
            </w:pPr>
            <w:r>
              <w:rPr/>
              <w:t>Stop</w:t>
            </w:r>
          </w:p>
        </w:tc>
        <w:tc>
          <w:tcPr>
            <w:tcW w:w="1299" w:type="dxa"/>
            <w:tcBorders/>
            <w:vAlign w:val="center"/>
          </w:tcPr>
          <w:p>
            <w:pPr>
              <w:pStyle w:val="TableContents"/>
              <w:bidi w:val="0"/>
              <w:spacing w:before="120" w:after="120"/>
              <w:jc w:val="left"/>
              <w:rPr/>
            </w:pPr>
            <w:r>
              <w:rPr/>
              <w:t>*</w:t>
            </w:r>
          </w:p>
        </w:tc>
        <w:tc>
          <w:tcPr>
            <w:tcW w:w="2956" w:type="dxa"/>
            <w:tcBorders/>
            <w:vAlign w:val="center"/>
          </w:tcPr>
          <w:p>
            <w:pPr>
              <w:pStyle w:val="TableContents"/>
              <w:bidi w:val="0"/>
              <w:spacing w:before="120" w:after="120"/>
              <w:jc w:val="left"/>
              <w:rPr/>
            </w:pPr>
            <w:r>
              <w:rPr>
                <w:rStyle w:val="SourceText"/>
              </w:rPr>
              <w:t>verify-gate.{sh,ps1}</w:t>
            </w:r>
            <w:r>
              <w:rPr/>
              <w:t xml:space="preserve">, </w:t>
            </w:r>
            <w:r>
              <w:rPr>
                <w:rStyle w:val="SourceText"/>
              </w:rPr>
              <w:t>context-watch</w:t>
            </w:r>
          </w:p>
        </w:tc>
        <w:tc>
          <w:tcPr>
            <w:tcW w:w="5539" w:type="dxa"/>
            <w:tcBorders/>
            <w:vAlign w:val="center"/>
          </w:tcPr>
          <w:p>
            <w:pPr>
              <w:pStyle w:val="TableContents"/>
              <w:bidi w:val="0"/>
              <w:spacing w:before="120" w:after="120"/>
              <w:jc w:val="left"/>
              <w:rPr/>
            </w:pPr>
            <w:r>
              <w:rPr/>
              <w:t xml:space="preserve">Runs the matched rules within </w:t>
            </w:r>
            <w:r>
              <w:rPr>
                <w:rStyle w:val="SourceText"/>
              </w:rPr>
              <w:t>verify.stopBudgetSeconds</w:t>
            </w:r>
            <w:r>
              <w:rPr/>
              <w:t xml:space="preserve"> (default 60); blocks on failure; keeps a per-rule record even when a sibling rule in the same pass fails. See section 6.</w:t>
            </w:r>
          </w:p>
        </w:tc>
      </w:tr>
    </w:tbl>
    <w:p>
      <w:pPr>
        <w:pStyle w:val="BodyText"/>
        <w:bidi w:val="0"/>
        <w:jc w:val="left"/>
        <w:rPr/>
      </w:pPr>
      <w:r>
        <w:rPr/>
        <w:t xml:space="preserve">Registration rules: each event registered once per flavour with </w:t>
      </w:r>
      <w:r>
        <w:rPr>
          <w:rStyle w:val="SourceText"/>
        </w:rPr>
        <w:t>shell: "powershell"</w:t>
      </w:r>
      <w:r>
        <w:rPr/>
        <w:t xml:space="preserve"> on the Windows entry, because a bare hook command goes to Git Bash on Windows; every </w:t>
      </w:r>
      <w:r>
        <w:rPr>
          <w:rStyle w:val="SourceText"/>
        </w:rPr>
        <w:t>.ps1</w:t>
      </w:r>
      <w:r>
        <w:rPr/>
        <w:t xml:space="preserve"> hook stands down off Windows as its first executable statement (</w:t>
      </w:r>
      <w:r>
        <w:rPr>
          <w:rStyle w:val="SourceText"/>
        </w:rPr>
        <w:t>if ($env:OS -ne 'Windows_NT') { exit 0 }</w:t>
      </w:r>
      <w:r>
        <w:rPr/>
        <w:t xml:space="preserve">), so a host carrying both interpreters never runs a hook twice. Every ratcheted key resolves to the narrower of the repository and machine-global layers; a corrupt layer resolves to the strict value; </w:t>
      </w:r>
      <w:r>
        <w:rPr>
          <w:rStyle w:val="SourceText"/>
        </w:rPr>
        <w:t>change.requireForProduction</w:t>
      </w:r>
      <w:r>
        <w:rPr/>
        <w:t xml:space="preserve"> ratchets the other way (on wins). A guard that can block ships off and needs a committed must-block/must-allow suite, sabotage-tested.</w:t>
      </w:r>
    </w:p>
    <w:p>
      <w:pPr>
        <w:pStyle w:val="Heading2"/>
        <w:bidi w:val="0"/>
        <w:jc w:val="left"/>
        <w:rPr/>
      </w:pPr>
      <w:r>
        <w:rPr/>
        <w:t>5. Knowledge Files</w:t>
      </w:r>
    </w:p>
    <w:tbl>
      <w:tblPr>
        <w:tblW w:w="5000" w:type="pct"/>
        <w:jc w:val="left"/>
        <w:tblInd w:w="28" w:type="dxa"/>
        <w:tblLayout w:type="fixed"/>
        <w:tblCellMar>
          <w:top w:w="28" w:type="dxa"/>
          <w:left w:w="28" w:type="dxa"/>
          <w:bottom w:w="28" w:type="dxa"/>
          <w:right w:w="28" w:type="dxa"/>
        </w:tblCellMar>
      </w:tblPr>
      <w:tblGrid>
        <w:gridCol w:w="1300"/>
        <w:gridCol w:w="2724"/>
        <w:gridCol w:w="7315"/>
      </w:tblGrid>
      <w:tr>
        <w:trPr>
          <w:tblHeader w:val="true"/>
        </w:trPr>
        <w:tc>
          <w:tcPr>
            <w:tcW w:w="1300" w:type="dxa"/>
            <w:tcBorders/>
            <w:vAlign w:val="center"/>
          </w:tcPr>
          <w:p>
            <w:pPr>
              <w:pStyle w:val="TableHeading"/>
              <w:suppressLineNumbers/>
              <w:shd w:fill="1F4E79" w:val="clear"/>
              <w:bidi w:val="0"/>
              <w:spacing w:before="120" w:after="120"/>
              <w:jc w:val="left"/>
              <w:rPr/>
            </w:pPr>
            <w:r>
              <w:rPr/>
              <w:t>Artefact</w:t>
            </w:r>
          </w:p>
        </w:tc>
        <w:tc>
          <w:tcPr>
            <w:tcW w:w="2724" w:type="dxa"/>
            <w:tcBorders/>
            <w:vAlign w:val="center"/>
          </w:tcPr>
          <w:p>
            <w:pPr>
              <w:pStyle w:val="TableHeading"/>
              <w:suppressLineNumbers/>
              <w:shd w:fill="1F4E79" w:val="clear"/>
              <w:bidi w:val="0"/>
              <w:spacing w:before="120" w:after="120"/>
              <w:jc w:val="left"/>
              <w:rPr/>
            </w:pPr>
            <w:r>
              <w:rPr/>
              <w:t>Location</w:t>
            </w:r>
          </w:p>
        </w:tc>
        <w:tc>
          <w:tcPr>
            <w:tcW w:w="7315" w:type="dxa"/>
            <w:tcBorders/>
            <w:vAlign w:val="center"/>
          </w:tcPr>
          <w:p>
            <w:pPr>
              <w:pStyle w:val="TableHeading"/>
              <w:suppressLineNumbers/>
              <w:shd w:fill="1F4E79" w:val="clear"/>
              <w:bidi w:val="0"/>
              <w:spacing w:before="120" w:after="120"/>
              <w:jc w:val="left"/>
              <w:rPr/>
            </w:pPr>
            <w:r>
              <w:rPr/>
              <w:t>Freshness rule</w:t>
            </w:r>
          </w:p>
        </w:tc>
      </w:tr>
      <w:tr>
        <w:trPr/>
        <w:tc>
          <w:tcPr>
            <w:tcW w:w="1300" w:type="dxa"/>
            <w:tcBorders/>
            <w:vAlign w:val="center"/>
          </w:tcPr>
          <w:p>
            <w:pPr>
              <w:pStyle w:val="TableContents"/>
              <w:bidi w:val="0"/>
              <w:spacing w:before="120" w:after="120"/>
              <w:jc w:val="left"/>
              <w:rPr/>
            </w:pPr>
            <w:r>
              <w:rPr/>
              <w:t>Code map</w:t>
            </w:r>
          </w:p>
        </w:tc>
        <w:tc>
          <w:tcPr>
            <w:tcW w:w="2724" w:type="dxa"/>
            <w:tcBorders/>
            <w:vAlign w:val="center"/>
          </w:tcPr>
          <w:p>
            <w:pPr>
              <w:pStyle w:val="TableContents"/>
              <w:bidi w:val="0"/>
              <w:spacing w:before="120" w:after="120"/>
              <w:jc w:val="left"/>
              <w:rPr/>
            </w:pPr>
            <w:r>
              <w:rPr>
                <w:rStyle w:val="SourceText"/>
              </w:rPr>
              <w:t>.crew/codemap/</w:t>
            </w:r>
            <w:r>
              <w:rPr/>
              <w:t>, un-ignored by name</w:t>
            </w:r>
          </w:p>
        </w:tc>
        <w:tc>
          <w:tcPr>
            <w:tcW w:w="7315" w:type="dxa"/>
            <w:tcBorders/>
            <w:vAlign w:val="center"/>
          </w:tcPr>
          <w:p>
            <w:pPr>
              <w:pStyle w:val="TableContents"/>
              <w:bidi w:val="0"/>
              <w:spacing w:before="120" w:after="120"/>
              <w:jc w:val="left"/>
              <w:rPr/>
            </w:pPr>
            <w:r>
              <w:rPr/>
              <w:t xml:space="preserve">An </w:t>
            </w:r>
            <w:r>
              <w:rPr>
                <w:rStyle w:val="SourceText"/>
              </w:rPr>
              <w:t>anchor:</w:t>
            </w:r>
            <w:r>
              <w:rPr/>
              <w:t xml:space="preserve"> behind HEAD means re-check with </w:t>
            </w:r>
            <w:r>
              <w:rPr>
                <w:rStyle w:val="SourceText"/>
              </w:rPr>
              <w:t>git diff --name-only &lt;anchor&gt;..HEAD -- &lt;paths&gt;</w:t>
            </w:r>
            <w:r>
              <w:rPr/>
              <w:t xml:space="preserve">; empty output means current. Comparison is </w:t>
            </w:r>
            <w:r>
              <w:rPr>
                <w:rStyle w:val="SourceText"/>
              </w:rPr>
              <w:t>sha[:7] == head[:7]</w:t>
            </w:r>
            <w:r>
              <w:rPr/>
              <w:t xml:space="preserve">. Deliberately carries no </w:t>
            </w:r>
            <w:r>
              <w:rPr>
                <w:rStyle w:val="SourceText"/>
              </w:rPr>
              <w:t>## Landmines</w:t>
            </w:r>
            <w:r>
              <w:rPr/>
              <w:t xml:space="preserve"> heading of its own; that judgement lives in the repository's </w:t>
            </w:r>
            <w:r>
              <w:rPr>
                <w:rStyle w:val="SourceText"/>
              </w:rPr>
              <w:t>CLAUDE.md</w:t>
            </w:r>
            <w:r>
              <w:rPr/>
              <w:t xml:space="preserve"> and the codemap cites it in place rather than restating it.</w:t>
            </w:r>
          </w:p>
        </w:tc>
      </w:tr>
      <w:tr>
        <w:trPr/>
        <w:tc>
          <w:tcPr>
            <w:tcW w:w="1300" w:type="dxa"/>
            <w:tcBorders/>
            <w:vAlign w:val="center"/>
          </w:tcPr>
          <w:p>
            <w:pPr>
              <w:pStyle w:val="TableContents"/>
              <w:bidi w:val="0"/>
              <w:spacing w:before="120" w:after="120"/>
              <w:jc w:val="left"/>
              <w:rPr/>
            </w:pPr>
            <w:r>
              <w:rPr/>
              <w:t>Code graph</w:t>
            </w:r>
          </w:p>
        </w:tc>
        <w:tc>
          <w:tcPr>
            <w:tcW w:w="2724" w:type="dxa"/>
            <w:tcBorders/>
            <w:vAlign w:val="center"/>
          </w:tcPr>
          <w:p>
            <w:pPr>
              <w:pStyle w:val="TableContents"/>
              <w:bidi w:val="0"/>
              <w:spacing w:before="120" w:after="120"/>
              <w:jc w:val="left"/>
              <w:rPr/>
            </w:pPr>
            <w:r>
              <w:rPr>
                <w:rStyle w:val="SourceText"/>
              </w:rPr>
              <w:t>graphify-out/graph.json</w:t>
            </w:r>
            <w:r>
              <w:rPr/>
              <w:t xml:space="preserve"> and </w:t>
            </w:r>
            <w:r>
              <w:rPr>
                <w:rStyle w:val="SourceText"/>
              </w:rPr>
              <w:t>GRAPH_REPORT.md</w:t>
            </w:r>
            <w:r>
              <w:rPr/>
              <w:t>, tracked</w:t>
            </w:r>
          </w:p>
        </w:tc>
        <w:tc>
          <w:tcPr>
            <w:tcW w:w="7315" w:type="dxa"/>
            <w:tcBorders/>
            <w:vAlign w:val="center"/>
          </w:tcPr>
          <w:p>
            <w:pPr>
              <w:pStyle w:val="TableContents"/>
              <w:bidi w:val="0"/>
              <w:spacing w:before="120" w:after="120"/>
              <w:jc w:val="left"/>
              <w:rPr/>
            </w:pPr>
            <w:r>
              <w:rPr/>
              <w:t xml:space="preserve">Rebuilt by post-commit and post-checkout hooks via </w:t>
            </w:r>
            <w:r>
              <w:rPr>
                <w:rStyle w:val="SourceText"/>
              </w:rPr>
              <w:t>graphify update .</w:t>
            </w:r>
            <w:r>
              <w:rPr/>
              <w:t xml:space="preserve">; a hand build with </w:t>
            </w:r>
            <w:r>
              <w:rPr>
                <w:rStyle w:val="SourceText"/>
              </w:rPr>
              <w:t>--no-viz --code-only</w:t>
            </w:r>
            <w:r>
              <w:rPr/>
              <w:t xml:space="preserve"> writes only one of the pair.</w:t>
            </w:r>
          </w:p>
        </w:tc>
      </w:tr>
      <w:tr>
        <w:trPr/>
        <w:tc>
          <w:tcPr>
            <w:tcW w:w="1300" w:type="dxa"/>
            <w:tcBorders/>
            <w:vAlign w:val="center"/>
          </w:tcPr>
          <w:p>
            <w:pPr>
              <w:pStyle w:val="TableContents"/>
              <w:bidi w:val="0"/>
              <w:spacing w:before="120" w:after="120"/>
              <w:jc w:val="left"/>
              <w:rPr/>
            </w:pPr>
            <w:r>
              <w:rPr/>
              <w:t>Diagrams</w:t>
            </w:r>
          </w:p>
        </w:tc>
        <w:tc>
          <w:tcPr>
            <w:tcW w:w="2724" w:type="dxa"/>
            <w:tcBorders/>
            <w:vAlign w:val="center"/>
          </w:tcPr>
          <w:p>
            <w:pPr>
              <w:pStyle w:val="TableContents"/>
              <w:bidi w:val="0"/>
              <w:spacing w:before="120" w:after="120"/>
              <w:jc w:val="left"/>
              <w:rPr/>
            </w:pPr>
            <w:r>
              <w:rPr>
                <w:rStyle w:val="SourceText"/>
              </w:rPr>
              <w:t>docs/diagrams/*.mmd</w:t>
            </w:r>
            <w:r>
              <w:rPr/>
              <w:t xml:space="preserve"> with </w:t>
            </w:r>
            <w:r>
              <w:rPr>
                <w:rStyle w:val="SourceText"/>
              </w:rPr>
              <w:t>%% Anchors:</w:t>
            </w:r>
          </w:p>
        </w:tc>
        <w:tc>
          <w:tcPr>
            <w:tcW w:w="7315" w:type="dxa"/>
            <w:tcBorders/>
            <w:vAlign w:val="center"/>
          </w:tcPr>
          <w:p>
            <w:pPr>
              <w:pStyle w:val="TableContents"/>
              <w:bidi w:val="0"/>
              <w:spacing w:before="120" w:after="120"/>
              <w:jc w:val="left"/>
              <w:rPr/>
            </w:pPr>
            <w:r>
              <w:rPr>
                <w:rStyle w:val="SourceText"/>
              </w:rPr>
              <w:t>/crew:diagram refresh</w:t>
            </w:r>
            <w:r>
              <w:rPr/>
              <w:t xml:space="preserve"> rewrites only diagrams whose cited files moved.</w:t>
            </w:r>
          </w:p>
        </w:tc>
      </w:tr>
      <w:tr>
        <w:trPr/>
        <w:tc>
          <w:tcPr>
            <w:tcW w:w="1300" w:type="dxa"/>
            <w:tcBorders/>
            <w:vAlign w:val="center"/>
          </w:tcPr>
          <w:p>
            <w:pPr>
              <w:pStyle w:val="TableContents"/>
              <w:bidi w:val="0"/>
              <w:spacing w:before="120" w:after="120"/>
              <w:jc w:val="left"/>
              <w:rPr/>
            </w:pPr>
            <w:r>
              <w:rPr/>
              <w:t>Metrics</w:t>
            </w:r>
          </w:p>
        </w:tc>
        <w:tc>
          <w:tcPr>
            <w:tcW w:w="2724" w:type="dxa"/>
            <w:tcBorders/>
            <w:vAlign w:val="center"/>
          </w:tcPr>
          <w:p>
            <w:pPr>
              <w:pStyle w:val="TableContents"/>
              <w:bidi w:val="0"/>
              <w:spacing w:before="120" w:after="120"/>
              <w:jc w:val="left"/>
              <w:rPr/>
            </w:pPr>
            <w:r>
              <w:rPr>
                <w:rStyle w:val="SourceText"/>
              </w:rPr>
              <w:t>.crew/metrics.md</w:t>
            </w:r>
          </w:p>
        </w:tc>
        <w:tc>
          <w:tcPr>
            <w:tcW w:w="7315" w:type="dxa"/>
            <w:tcBorders/>
            <w:vAlign w:val="center"/>
          </w:tcPr>
          <w:p>
            <w:pPr>
              <w:pStyle w:val="TableContents"/>
              <w:bidi w:val="0"/>
              <w:spacing w:before="120" w:after="120"/>
              <w:jc w:val="left"/>
              <w:rPr/>
            </w:pPr>
            <w:r>
              <w:rPr/>
              <w:t>One row per review; grouped by ticket column for the BLOCK+FIX rate.</w:t>
            </w:r>
          </w:p>
        </w:tc>
      </w:tr>
      <w:tr>
        <w:trPr/>
        <w:tc>
          <w:tcPr>
            <w:tcW w:w="1300" w:type="dxa"/>
            <w:tcBorders/>
            <w:vAlign w:val="center"/>
          </w:tcPr>
          <w:p>
            <w:pPr>
              <w:pStyle w:val="TableContents"/>
              <w:bidi w:val="0"/>
              <w:spacing w:before="120" w:after="120"/>
              <w:jc w:val="left"/>
              <w:rPr/>
            </w:pPr>
            <w:r>
              <w:rPr/>
              <w:t>Handoff</w:t>
            </w:r>
          </w:p>
        </w:tc>
        <w:tc>
          <w:tcPr>
            <w:tcW w:w="2724" w:type="dxa"/>
            <w:tcBorders/>
            <w:vAlign w:val="center"/>
          </w:tcPr>
          <w:p>
            <w:pPr>
              <w:pStyle w:val="TableContents"/>
              <w:bidi w:val="0"/>
              <w:spacing w:before="120" w:after="120"/>
              <w:jc w:val="left"/>
              <w:rPr/>
            </w:pPr>
            <w:r>
              <w:rPr>
                <w:rStyle w:val="SourceText"/>
              </w:rPr>
              <w:t>.work/HANDOFF.md</w:t>
            </w:r>
          </w:p>
        </w:tc>
        <w:tc>
          <w:tcPr>
            <w:tcW w:w="7315" w:type="dxa"/>
            <w:tcBorders/>
            <w:vAlign w:val="center"/>
          </w:tcPr>
          <w:p>
            <w:pPr>
              <w:pStyle w:val="TableContents"/>
              <w:bidi w:val="0"/>
              <w:spacing w:before="120" w:after="120"/>
              <w:jc w:val="left"/>
              <w:rPr/>
            </w:pPr>
            <w:r>
              <w:rPr/>
              <w:t>Injected at session start until finished or deleted.</w:t>
            </w:r>
          </w:p>
        </w:tc>
      </w:tr>
    </w:tbl>
    <w:p>
      <w:pPr>
        <w:pStyle w:val="Heading2"/>
        <w:bidi w:val="0"/>
        <w:jc w:val="left"/>
        <w:rPr/>
      </w:pPr>
      <w:r>
        <w:rPr/>
        <w:t>6. The Stop Gate and the PM: Crew 0.20.11</w:t>
      </w:r>
    </w:p>
    <w:p>
      <w:pPr>
        <w:pStyle w:val="BodyText"/>
        <w:bidi w:val="0"/>
        <w:jc w:val="left"/>
        <w:rPr/>
      </w:pPr>
      <w:r>
        <w:rPr/>
        <w:t xml:space="preserve">The current top entry in </w:t>
      </w:r>
      <w:r>
        <w:rPr>
          <w:rStyle w:val="SourceText"/>
        </w:rPr>
        <w:t>CHANGELOG.md</w:t>
      </w:r>
      <w:r>
        <w:rPr/>
        <w:t xml:space="preserve">'s </w:t>
      </w:r>
      <w:r>
        <w:rPr>
          <w:rStyle w:val="SourceText"/>
        </w:rPr>
        <w:t>[Unreleased]</w:t>
      </w:r>
      <w:r>
        <w:rPr/>
        <w:t xml:space="preserve"> section, filed against crew 0.20.11, closes three related defects in one pass.</w:t>
      </w:r>
    </w:p>
    <w:p>
      <w:pPr>
        <w:pStyle w:val="Heading3"/>
        <w:bidi w:val="0"/>
        <w:jc w:val="left"/>
        <w:rPr/>
      </w:pPr>
      <w:r>
        <w:rPr/>
        <w:t>Evidence Retention on a Partial Failure</w:t>
      </w:r>
    </w:p>
    <w:p>
      <w:pPr>
        <w:pStyle w:val="BodyText"/>
        <w:bidi w:val="0"/>
        <w:jc w:val="left"/>
        <w:rPr/>
      </w:pPr>
      <w:r>
        <w:rPr>
          <w:rStyle w:val="SourceText"/>
        </w:rPr>
        <w:t>verify-gate.sh</w:t>
      </w:r>
      <w:r>
        <w:rPr/>
        <w:t xml:space="preserve"> used to exit above the point where it synced the per-rule record, so one failing command discarded every rule that had already passed that turn. The sync now runs first; a failing rule's own outcome is deliberately still not recorded under its own key, because recording it there would orphan the marker the moment the rule is edited to fix it.</w:t>
      </w:r>
    </w:p>
    <w:p>
      <w:pPr>
        <w:pStyle w:val="Heading3"/>
        <w:bidi w:val="0"/>
        <w:jc w:val="left"/>
        <w:rPr/>
      </w:pPr>
      <w:r>
        <w:rPr/>
        <w:t xml:space="preserve">The Git Bash </w:t>
      </w:r>
      <w:r>
        <w:rPr>
          <w:rStyle w:val="SourceText"/>
        </w:rPr>
        <w:t>python3</w:t>
      </w:r>
      <w:r>
        <w:rPr/>
        <w:t xml:space="preserve"> Landmine</w:t>
      </w:r>
    </w:p>
    <w:p>
      <w:pPr>
        <w:pStyle w:val="BodyText"/>
        <w:bidi w:val="0"/>
        <w:jc w:val="left"/>
        <w:rPr/>
      </w:pPr>
      <w:r>
        <w:rPr/>
        <w:t xml:space="preserve">The gate builds a </w:t>
      </w:r>
      <w:r>
        <w:rPr>
          <w:rStyle w:val="SourceText"/>
        </w:rPr>
        <w:t>python3</w:t>
      </w:r>
      <w:r>
        <w:rPr/>
        <w:t xml:space="preserve"> shim from the proved resolver only when </w:t>
      </w:r>
      <w:r>
        <w:rPr>
          <w:rStyle w:val="SourceText"/>
        </w:rPr>
        <w:t>python3</w:t>
      </w:r>
      <w:r>
        <w:rPr/>
        <w:t xml:space="preserve"> itself is genuinely absent, never shadowing a </w:t>
      </w:r>
      <w:r>
        <w:rPr>
          <w:rStyle w:val="SourceText"/>
        </w:rPr>
        <w:t>python</w:t>
      </w:r>
      <w:r>
        <w:rPr/>
        <w:t xml:space="preserve"> or </w:t>
      </w:r>
      <w:r>
        <w:rPr>
          <w:rStyle w:val="SourceText"/>
        </w:rPr>
        <w:t>py</w:t>
      </w:r>
      <w:r>
        <w:rPr/>
        <w:t xml:space="preserve"> that is already on PATH; it accepts a native </w:t>
      </w:r>
      <w:r>
        <w:rPr>
          <w:rStyle w:val="SourceText"/>
        </w:rPr>
        <w:t>C:\...\python.exe</w:t>
      </w:r>
      <w:r>
        <w:rPr/>
        <w:t xml:space="preserve"> interpreter path, and fails closed with a remediation hint when nothing resolves. </w:t>
      </w:r>
      <w:r>
        <w:rPr>
          <w:rStyle w:val="SourceText"/>
        </w:rPr>
        <w:t>context-watch.sh</w:t>
      </w:r>
      <w:r>
        <w:rPr/>
        <w:t xml:space="preserve">, </w:t>
      </w:r>
      <w:r>
        <w:rPr>
          <w:rStyle w:val="SourceText"/>
        </w:rPr>
        <w:t>pm-brief.sh</w:t>
      </w:r>
      <w:r>
        <w:rPr/>
        <w:t xml:space="preserve"> and </w:t>
      </w:r>
      <w:r>
        <w:rPr>
          <w:rStyle w:val="SourceText"/>
        </w:rPr>
        <w:t>platform-sync.sh</w:t>
      </w:r>
      <w:r>
        <w:rPr/>
        <w:t xml:space="preserve"> now go through the same strict resolver (</w:t>
      </w:r>
      <w:r>
        <w:rPr>
          <w:rStyle w:val="SourceText"/>
        </w:rPr>
        <w:t>crew_py_strict</w:t>
      </w:r>
      <w:r>
        <w:rPr/>
        <w:t xml:space="preserve">), which requires the probed path to be executable, strips a trailing CR, and normalises drive-letter paths. </w:t>
      </w:r>
      <w:r>
        <w:rPr>
          <w:rStyle w:val="SourceText"/>
        </w:rPr>
        <w:t>context-watch.sh</w:t>
      </w:r>
      <w:r>
        <w:rPr/>
        <w:t xml:space="preserve"> specifically: honours </w:t>
      </w:r>
      <w:r>
        <w:rPr>
          <w:rStyle w:val="SourceText"/>
        </w:rPr>
        <w:t>stop_hook_active</w:t>
      </w:r>
      <w:r>
        <w:rPr/>
        <w:t xml:space="preserve"> before anything else, fails closed on a stub interpreter without claiming the shared handoff marker (so the PowerShell twin's real budget warning is never suppressed by a false alarm), honours </w:t>
      </w:r>
      <w:r>
        <w:rPr>
          <w:rStyle w:val="SourceText"/>
        </w:rPr>
        <w:t>context.enabled: false</w:t>
      </w:r>
      <w:r>
        <w:rPr/>
        <w:t xml:space="preserve"> without needing python at all, and keeps the input's own </w:t>
      </w:r>
      <w:r>
        <w:rPr>
          <w:rStyle w:val="SourceText"/>
        </w:rPr>
        <w:t>cwd</w:t>
      </w:r>
      <w:r>
        <w:rPr/>
        <w:t xml:space="preserve"> ahead of </w:t>
      </w:r>
      <w:r>
        <w:rPr>
          <w:rStyle w:val="SourceText"/>
        </w:rPr>
        <w:t>CLAUDE_PROJECT_DIR</w:t>
      </w:r>
      <w:r>
        <w:rPr/>
        <w:t>.</w:t>
      </w:r>
    </w:p>
    <w:p>
      <w:pPr>
        <w:pStyle w:val="Heading3"/>
        <w:bidi w:val="0"/>
        <w:jc w:val="left"/>
        <w:rPr/>
      </w:pPr>
      <w:r>
        <w:rPr/>
        <w:t>The PM's State Going Stale Mid-Pass</w:t>
      </w:r>
    </w:p>
    <w:p>
      <w:pPr>
        <w:pStyle w:val="BodyText"/>
        <w:bidi w:val="0"/>
        <w:jc w:val="left"/>
        <w:rPr/>
      </w:pPr>
      <w:r>
        <w:rPr>
          <w:rStyle w:val="SourceText"/>
        </w:rPr>
        <w:t>agents/pm.md</w:t>
      </w:r>
      <w:r>
        <w:rPr/>
        <w:t xml:space="preserve"> now re-reads full </w:t>
      </w:r>
      <w:r>
        <w:rPr>
          <w:rStyle w:val="SourceText"/>
        </w:rPr>
        <w:t>crew_state.py</w:t>
      </w:r>
      <w:r>
        <w:rPr/>
        <w:t xml:space="preserve"> output plus HEAD, branch and </w:t>
      </w:r>
      <w:r>
        <w:rPr>
          <w:rStyle w:val="SourceText"/>
        </w:rPr>
        <w:t>git status --porcelain</w:t>
      </w:r>
      <w:r>
        <w:rPr/>
        <w:t xml:space="preserve"> before every dispatch, and on every return runs </w:t>
      </w:r>
      <w:r>
        <w:rPr>
          <w:rStyle w:val="SourceText"/>
        </w:rPr>
        <w:t>rev-parse</w:t>
      </w:r>
      <w:r>
        <w:rPr/>
        <w:t xml:space="preserve">, </w:t>
      </w:r>
      <w:r>
        <w:rPr>
          <w:rStyle w:val="SourceText"/>
        </w:rPr>
        <w:t>merge-base --is-ancestor</w:t>
      </w:r>
      <w:r>
        <w:rPr/>
        <w:t xml:space="preserve">, </w:t>
      </w:r>
      <w:r>
        <w:rPr>
          <w:rStyle w:val="SourceText"/>
        </w:rPr>
        <w:t>log &lt;pre&gt;..HEAD</w:t>
      </w:r>
      <w:r>
        <w:rPr/>
        <w:t xml:space="preserve"> and </w:t>
      </w:r>
      <w:r>
        <w:rPr>
          <w:rStyle w:val="SourceText"/>
        </w:rPr>
        <w:t>branch --show-current</w:t>
      </w:r>
      <w:r>
        <w:rPr/>
        <w:t xml:space="preserve"> on its own checkout, so a backward, sideways or foreign-forward HEAD is reported instead of assumed unchanged.</w:t>
      </w:r>
    </w:p>
    <w:p>
      <w:pPr>
        <w:pStyle w:val="Heading3"/>
        <w:bidi w:val="0"/>
        <w:jc w:val="left"/>
        <w:rPr/>
      </w:pPr>
      <w:r>
        <w:rPr>
          <w:rStyle w:val="SourceText"/>
        </w:rPr>
        <w:t>render.sh</w:t>
      </w:r>
    </w:p>
    <w:p>
      <w:pPr>
        <w:pStyle w:val="BodyText"/>
        <w:bidi w:val="0"/>
        <w:jc w:val="left"/>
        <w:rPr/>
      </w:pPr>
      <w:r>
        <w:rPr/>
        <w:t>Handles flags in any position; exits 1 on an empty diagram directory and 2 on contradictory flags; renders to a temporary file so a failed re-render never overwrites the last good output; prints separate ok / skipped / failed counts. Both render scripts (</w:t>
      </w:r>
      <w:r>
        <w:rPr>
          <w:rStyle w:val="SourceText"/>
        </w:rPr>
        <w:t>.sh</w:t>
      </w:r>
      <w:r>
        <w:rPr/>
        <w:t>/</w:t>
      </w:r>
      <w:r>
        <w:rPr>
          <w:rStyle w:val="SourceText"/>
        </w:rPr>
        <w:t>.ps1</w:t>
      </w:r>
      <w:r>
        <w:rPr/>
        <w:t>) are now tracked executable.</w:t>
      </w:r>
    </w:p>
    <w:p>
      <w:pPr>
        <w:pStyle w:val="BodyText"/>
        <w:bidi w:val="0"/>
        <w:jc w:val="left"/>
        <w:rPr/>
      </w:pPr>
      <w:r>
        <w:rPr/>
        <w:t xml:space="preserve">Every hook and script change in this entry carries a must-block/must-allow case that was sabotage-tested on Linux; the </w:t>
      </w:r>
      <w:r>
        <w:rPr>
          <w:rStyle w:val="SourceText"/>
        </w:rPr>
        <w:t>agents/pm.md</w:t>
      </w:r>
      <w:r>
        <w:rPr/>
        <w:t xml:space="preserve"> prose change has no automated test of its own, and the new </w:t>
      </w:r>
      <w:r>
        <w:rPr>
          <w:rStyle w:val="SourceText"/>
        </w:rPr>
        <w:t>.ps1</w:t>
      </w:r>
      <w:r>
        <w:rPr/>
        <w:t xml:space="preserve"> resolver cases skip where no PowerShell host exists.</w:t>
      </w:r>
    </w:p>
    <w:p>
      <w:pPr>
        <w:pStyle w:val="Heading2"/>
        <w:bidi w:val="0"/>
        <w:jc w:val="left"/>
        <w:rPr/>
      </w:pPr>
      <w:r>
        <w:rPr/>
        <w:t>7. Earlier Changes on the Same Line (0.19.90 to 0.19.96)</w:t>
      </w:r>
    </w:p>
    <w:tbl>
      <w:tblPr>
        <w:tblW w:w="5000" w:type="pct"/>
        <w:jc w:val="left"/>
        <w:tblInd w:w="28" w:type="dxa"/>
        <w:tblLayout w:type="fixed"/>
        <w:tblCellMar>
          <w:top w:w="28" w:type="dxa"/>
          <w:left w:w="28" w:type="dxa"/>
          <w:bottom w:w="28" w:type="dxa"/>
          <w:right w:w="28" w:type="dxa"/>
        </w:tblCellMar>
      </w:tblPr>
      <w:tblGrid>
        <w:gridCol w:w="1089"/>
        <w:gridCol w:w="10250"/>
      </w:tblGrid>
      <w:tr>
        <w:trPr>
          <w:tblHeader w:val="true"/>
        </w:trPr>
        <w:tc>
          <w:tcPr>
            <w:tcW w:w="1089" w:type="dxa"/>
            <w:tcBorders/>
            <w:vAlign w:val="center"/>
          </w:tcPr>
          <w:p>
            <w:pPr>
              <w:pStyle w:val="TableHeading"/>
              <w:suppressLineNumbers/>
              <w:shd w:fill="1F4E79" w:val="clear"/>
              <w:bidi w:val="0"/>
              <w:spacing w:before="120" w:after="120"/>
              <w:jc w:val="left"/>
              <w:rPr/>
            </w:pPr>
            <w:r>
              <w:rPr/>
              <w:t>Version</w:t>
            </w:r>
          </w:p>
        </w:tc>
        <w:tc>
          <w:tcPr>
            <w:tcW w:w="10250" w:type="dxa"/>
            <w:tcBorders/>
            <w:vAlign w:val="center"/>
          </w:tcPr>
          <w:p>
            <w:pPr>
              <w:pStyle w:val="TableHeading"/>
              <w:suppressLineNumbers/>
              <w:shd w:fill="1F4E79" w:val="clear"/>
              <w:bidi w:val="0"/>
              <w:spacing w:before="120" w:after="120"/>
              <w:jc w:val="left"/>
              <w:rPr/>
            </w:pPr>
            <w:r>
              <w:rPr/>
              <w:t>Change</w:t>
            </w:r>
          </w:p>
        </w:tc>
      </w:tr>
      <w:tr>
        <w:trPr/>
        <w:tc>
          <w:tcPr>
            <w:tcW w:w="1089" w:type="dxa"/>
            <w:tcBorders/>
            <w:vAlign w:val="center"/>
          </w:tcPr>
          <w:p>
            <w:pPr>
              <w:pStyle w:val="TableContents"/>
              <w:bidi w:val="0"/>
              <w:spacing w:before="120" w:after="120"/>
              <w:jc w:val="left"/>
              <w:rPr/>
            </w:pPr>
            <w:r>
              <w:rPr/>
              <w:t>0.19.90</w:t>
            </w:r>
          </w:p>
        </w:tc>
        <w:tc>
          <w:tcPr>
            <w:tcW w:w="10250" w:type="dxa"/>
            <w:tcBorders/>
            <w:vAlign w:val="center"/>
          </w:tcPr>
          <w:p>
            <w:pPr>
              <w:pStyle w:val="TableContents"/>
              <w:bidi w:val="0"/>
              <w:spacing w:before="120" w:after="120"/>
              <w:jc w:val="left"/>
              <w:rPr/>
            </w:pPr>
            <w:r>
              <w:rPr/>
              <w:t>The idle rule, in both directions: every role that runs a check runs it in the foreground and never ends its turn waiting on a background task; the PM learns that an idle signal is not proof a role stopped, and escalates on a two-cycle recency check rather than restarting live work.</w:t>
            </w:r>
          </w:p>
        </w:tc>
      </w:tr>
      <w:tr>
        <w:trPr/>
        <w:tc>
          <w:tcPr>
            <w:tcW w:w="1089" w:type="dxa"/>
            <w:tcBorders/>
            <w:vAlign w:val="center"/>
          </w:tcPr>
          <w:p>
            <w:pPr>
              <w:pStyle w:val="TableContents"/>
              <w:bidi w:val="0"/>
              <w:spacing w:before="120" w:after="120"/>
              <w:jc w:val="left"/>
              <w:rPr/>
            </w:pPr>
            <w:r>
              <w:rPr/>
              <w:t>0.19.91</w:t>
            </w:r>
          </w:p>
        </w:tc>
        <w:tc>
          <w:tcPr>
            <w:tcW w:w="10250" w:type="dxa"/>
            <w:tcBorders/>
            <w:vAlign w:val="center"/>
          </w:tcPr>
          <w:p>
            <w:pPr>
              <w:pStyle w:val="TableContents"/>
              <w:bidi w:val="0"/>
              <w:spacing w:before="120" w:after="120"/>
              <w:jc w:val="left"/>
              <w:rPr/>
            </w:pPr>
            <w:r>
              <w:rPr/>
              <w:t>A behaviour-eval suite: five live tests, each tempting one documented rule, graded by structure rather than by a judge model. The first run caught the PM writing code itself.</w:t>
            </w:r>
          </w:p>
        </w:tc>
      </w:tr>
      <w:tr>
        <w:trPr/>
        <w:tc>
          <w:tcPr>
            <w:tcW w:w="1089" w:type="dxa"/>
            <w:tcBorders/>
            <w:vAlign w:val="center"/>
          </w:tcPr>
          <w:p>
            <w:pPr>
              <w:pStyle w:val="TableContents"/>
              <w:bidi w:val="0"/>
              <w:spacing w:before="120" w:after="120"/>
              <w:jc w:val="left"/>
              <w:rPr/>
            </w:pPr>
            <w:r>
              <w:rPr/>
              <w:t>0.19.92</w:t>
            </w:r>
          </w:p>
        </w:tc>
        <w:tc>
          <w:tcPr>
            <w:tcW w:w="10250" w:type="dxa"/>
            <w:tcBorders/>
            <w:vAlign w:val="center"/>
          </w:tcPr>
          <w:p>
            <w:pPr>
              <w:pStyle w:val="TableContents"/>
              <w:bidi w:val="0"/>
              <w:spacing w:before="120" w:after="120"/>
              <w:jc w:val="left"/>
              <w:rPr/>
            </w:pPr>
            <w:r>
              <w:rPr/>
              <w:t xml:space="preserve">The role write guard: a hook that enforces each role's write scope from its own </w:t>
            </w:r>
            <w:r>
              <w:rPr>
                <w:rStyle w:val="SourceText"/>
              </w:rPr>
              <w:t>tools:</w:t>
            </w:r>
            <w:r>
              <w:rPr/>
              <w:t xml:space="preserve"> definition. Off by default; the strictest setting is the floor once enabled; corrupt configuration forces the strict setting.</w:t>
            </w:r>
          </w:p>
        </w:tc>
      </w:tr>
      <w:tr>
        <w:trPr/>
        <w:tc>
          <w:tcPr>
            <w:tcW w:w="1089" w:type="dxa"/>
            <w:tcBorders/>
            <w:vAlign w:val="center"/>
          </w:tcPr>
          <w:p>
            <w:pPr>
              <w:pStyle w:val="TableContents"/>
              <w:bidi w:val="0"/>
              <w:spacing w:before="120" w:after="120"/>
              <w:jc w:val="left"/>
              <w:rPr/>
            </w:pPr>
            <w:r>
              <w:rPr/>
              <w:t>0.19.93</w:t>
            </w:r>
          </w:p>
        </w:tc>
        <w:tc>
          <w:tcPr>
            <w:tcW w:w="10250" w:type="dxa"/>
            <w:tcBorders/>
            <w:vAlign w:val="center"/>
          </w:tcPr>
          <w:p>
            <w:pPr>
              <w:pStyle w:val="TableContents"/>
              <w:bidi w:val="0"/>
              <w:spacing w:before="120" w:after="120"/>
              <w:jc w:val="left"/>
              <w:rPr/>
            </w:pPr>
            <w:r>
              <w:rPr/>
              <w:t>The Stop-gate fix that first introduced the per-rule verified record, priced rules, reach declarations (local/network/host) and exit 77 as SKIP, replacing the all-or-nothing marker that section 6 above builds on.</w:t>
            </w:r>
          </w:p>
        </w:tc>
      </w:tr>
      <w:tr>
        <w:trPr/>
        <w:tc>
          <w:tcPr>
            <w:tcW w:w="1089" w:type="dxa"/>
            <w:tcBorders/>
            <w:vAlign w:val="center"/>
          </w:tcPr>
          <w:p>
            <w:pPr>
              <w:pStyle w:val="TableContents"/>
              <w:bidi w:val="0"/>
              <w:spacing w:before="120" w:after="120"/>
              <w:jc w:val="left"/>
              <w:rPr/>
            </w:pPr>
            <w:r>
              <w:rPr/>
              <w:t>0.19.95</w:t>
            </w:r>
          </w:p>
        </w:tc>
        <w:tc>
          <w:tcPr>
            <w:tcW w:w="10250" w:type="dxa"/>
            <w:tcBorders/>
            <w:vAlign w:val="center"/>
          </w:tcPr>
          <w:p>
            <w:pPr>
              <w:pStyle w:val="TableContents"/>
              <w:bidi w:val="0"/>
              <w:spacing w:before="120" w:after="120"/>
              <w:jc w:val="left"/>
              <w:rPr/>
            </w:pPr>
            <w:r>
              <w:rPr/>
              <w:t>T-0003: the developer may commit on the ticket's own branch, and the ticket's scope evidence diffs from the commit the ticket started at rather than from the Stop gate's own marker, which answers a different question.</w:t>
            </w:r>
          </w:p>
        </w:tc>
      </w:tr>
      <w:tr>
        <w:trPr/>
        <w:tc>
          <w:tcPr>
            <w:tcW w:w="1089" w:type="dxa"/>
            <w:tcBorders/>
            <w:vAlign w:val="center"/>
          </w:tcPr>
          <w:p>
            <w:pPr>
              <w:pStyle w:val="TableContents"/>
              <w:bidi w:val="0"/>
              <w:spacing w:before="120" w:after="120"/>
              <w:jc w:val="left"/>
              <w:rPr/>
            </w:pPr>
            <w:r>
              <w:rPr/>
              <w:t>0.19.96</w:t>
            </w:r>
          </w:p>
        </w:tc>
        <w:tc>
          <w:tcPr>
            <w:tcW w:w="10250" w:type="dxa"/>
            <w:tcBorders/>
            <w:vAlign w:val="center"/>
          </w:tcPr>
          <w:p>
            <w:pPr>
              <w:pStyle w:val="TableContents"/>
              <w:bidi w:val="0"/>
              <w:spacing w:before="120" w:after="120"/>
              <w:jc w:val="left"/>
              <w:rPr/>
            </w:pPr>
            <w:r>
              <w:rPr/>
              <w:t xml:space="preserve">A stray </w:t>
            </w:r>
            <w:r>
              <w:rPr>
                <w:rStyle w:val="SourceText"/>
              </w:rPr>
              <w:t>!</w:t>
            </w:r>
            <w:r>
              <w:rPr/>
              <w:t xml:space="preserve">` in </w:t>
            </w:r>
            <w:r>
              <w:rPr>
                <w:rStyle w:val="SourceText"/>
              </w:rPr>
              <w:t>commands/verify.md</w:t>
            </w:r>
            <w:r>
              <w:rPr/>
              <w:t xml:space="preserve"> was read by Claude Code as its own bash-execution syntax, so every </w:t>
            </w:r>
            <w:r>
              <w:rPr>
                <w:rStyle w:val="SourceText"/>
              </w:rPr>
              <w:t>/crew:verify</w:t>
            </w:r>
            <w:r>
              <w:rPr/>
              <w:t xml:space="preserve"> invocation died before dispatching anything. Fixed by the correct double-backtick construction; a scan of all 54 command files at the time found no other instance.</w:t>
            </w:r>
          </w:p>
        </w:tc>
      </w:tr>
      <w:tr>
        <w:trPr/>
        <w:tc>
          <w:tcPr>
            <w:tcW w:w="1089" w:type="dxa"/>
            <w:tcBorders/>
            <w:vAlign w:val="center"/>
          </w:tcPr>
          <w:p>
            <w:pPr>
              <w:pStyle w:val="TableContents"/>
              <w:bidi w:val="0"/>
              <w:spacing w:before="120" w:after="120"/>
              <w:jc w:val="left"/>
              <w:rPr/>
            </w:pPr>
            <w:r>
              <w:rPr/>
              <w:t>0.20.2</w:t>
            </w:r>
          </w:p>
        </w:tc>
        <w:tc>
          <w:tcPr>
            <w:tcW w:w="10250" w:type="dxa"/>
            <w:tcBorders/>
            <w:vAlign w:val="center"/>
          </w:tcPr>
          <w:p>
            <w:pPr>
              <w:pStyle w:val="TableContents"/>
              <w:bidi w:val="0"/>
              <w:spacing w:before="120" w:after="120"/>
              <w:jc w:val="left"/>
              <w:rPr/>
            </w:pPr>
            <w:r>
              <w:rPr/>
              <w:t xml:space="preserve">Every registered </w:t>
            </w:r>
            <w:r>
              <w:rPr>
                <w:rStyle w:val="SourceText"/>
              </w:rPr>
              <w:t>.ps1</w:t>
            </w:r>
            <w:r>
              <w:rPr/>
              <w:t xml:space="preserve"> hook stands down off Windows as its first executable statement, closing a defect where a host with both interpreters silently ran every hook twice.</w:t>
            </w:r>
          </w:p>
        </w:tc>
      </w:tr>
    </w:tbl>
    <w:p>
      <w:pPr>
        <w:pStyle w:val="Heading2"/>
        <w:bidi w:val="0"/>
        <w:jc w:val="left"/>
        <w:rPr/>
      </w:pPr>
      <w:r>
        <w:rPr/>
        <w:t>8. Known Items on the Fix List</w:t>
      </w:r>
    </w:p>
    <w:p>
      <w:pPr>
        <w:pStyle w:val="BodyText"/>
        <w:numPr>
          <w:ilvl w:val="0"/>
          <w:numId w:val="1"/>
        </w:numPr>
        <w:tabs>
          <w:tab w:val="clear" w:pos="1134"/>
          <w:tab w:val="left" w:pos="829" w:leader="none"/>
        </w:tabs>
        <w:bidi w:val="0"/>
        <w:spacing w:before="120" w:after="0"/>
        <w:ind w:hanging="283" w:left="829"/>
        <w:jc w:val="left"/>
        <w:rPr/>
      </w:pPr>
      <w:r>
        <w:rPr>
          <w:rStyle w:val="SourceText"/>
        </w:rPr>
        <w:t>.crew/verify.json</w:t>
      </w:r>
      <w:r>
        <w:rPr/>
        <w:t xml:space="preserve"> has no rule naming </w:t>
      </w:r>
      <w:r>
        <w:rPr>
          <w:rStyle w:val="SourceText"/>
        </w:rPr>
        <w:t>test_scope_report.py</w:t>
      </w:r>
      <w:r>
        <w:rPr/>
        <w:t xml:space="preserve">, </w:t>
      </w:r>
      <w:r>
        <w:rPr>
          <w:rStyle w:val="SourceText"/>
        </w:rPr>
        <w:t>test_scope_discipline.py</w:t>
      </w:r>
      <w:r>
        <w:rPr/>
        <w:t xml:space="preserve"> or </w:t>
      </w:r>
      <w:r>
        <w:rPr>
          <w:rStyle w:val="SourceText"/>
        </w:rPr>
        <w:t>test_scope_base.py</w:t>
      </w:r>
      <w:r>
        <w:rPr/>
        <w:t xml:space="preserve"> by path, and none whose declared paths cover </w:t>
      </w:r>
      <w:r>
        <w:rPr>
          <w:rStyle w:val="SourceText"/>
        </w:rPr>
        <w:t>hooks/scripts/scope_report.py</w:t>
      </w:r>
      <w:r>
        <w:rPr/>
        <w:t xml:space="preserve"> or </w:t>
      </w:r>
      <w:r>
        <w:rPr>
          <w:rStyle w:val="SourceText"/>
        </w:rPr>
        <w:t>scope_base.py</w:t>
      </w:r>
      <w:r>
        <w:rPr/>
        <w:t xml:space="preserve"> beyond the whole-suite catch-all rule — a regression in the scope layer alone is not caught until that rule's own trigger fires. </w:t>
      </w:r>
    </w:p>
    <w:p>
      <w:pPr>
        <w:pStyle w:val="BodyText"/>
        <w:numPr>
          <w:ilvl w:val="0"/>
          <w:numId w:val="1"/>
        </w:numPr>
        <w:tabs>
          <w:tab w:val="clear" w:pos="1134"/>
          <w:tab w:val="left" w:pos="829" w:leader="none"/>
        </w:tabs>
        <w:bidi w:val="0"/>
        <w:spacing w:before="120" w:after="0"/>
        <w:ind w:hanging="283" w:left="829"/>
        <w:jc w:val="left"/>
        <w:rPr/>
      </w:pPr>
      <w:r>
        <w:rPr/>
        <w:t xml:space="preserve">The four </w:t>
      </w:r>
      <w:r>
        <w:rPr>
          <w:rStyle w:val="SourceText"/>
        </w:rPr>
        <w:t>docs/guides/*.html</w:t>
      </w:r>
      <w:r>
        <w:rPr/>
        <w:t xml:space="preserve"> guides (this document among them) have no committed test binding the shipped files to </w:t>
      </w:r>
      <w:r>
        <w:rPr>
          <w:rStyle w:val="SourceText"/>
        </w:rPr>
        <w:t>crew-house-style</w:t>
      </w:r>
      <w:r>
        <w:rPr/>
        <w:t xml:space="preserve">'s HTML route beyond the skill's own prose; a hand edit dropping the print rules or the brand stylesheet would not be caught by anything in </w:t>
      </w:r>
      <w:r>
        <w:rPr>
          <w:rStyle w:val="SourceText"/>
        </w:rPr>
        <w:t>plugin/crew/tests/</w:t>
      </w:r>
      <w:r>
        <w:rPr/>
        <w:t xml:space="preserve">. </w:t>
      </w:r>
    </w:p>
    <w:p>
      <w:pPr>
        <w:pStyle w:val="BodyText"/>
        <w:numPr>
          <w:ilvl w:val="0"/>
          <w:numId w:val="1"/>
        </w:numPr>
        <w:tabs>
          <w:tab w:val="clear" w:pos="1134"/>
          <w:tab w:val="left" w:pos="829" w:leader="none"/>
        </w:tabs>
        <w:bidi w:val="0"/>
        <w:spacing w:before="120" w:after="0"/>
        <w:ind w:hanging="283" w:left="829"/>
        <w:jc w:val="left"/>
        <w:rPr/>
      </w:pPr>
      <w:r>
        <w:rPr/>
        <w:t xml:space="preserve">Regenerating a guide's </w:t>
      </w:r>
      <w:r>
        <w:rPr>
          <w:rStyle w:val="SourceText"/>
        </w:rPr>
        <w:t>.docx</w:t>
      </w:r>
      <w:r>
        <w:rPr/>
        <w:t xml:space="preserve"> from its HTML still needs a page-setup and table-width post-processing pass — LibreOffice's HTML-to-OOXML import emits Letter/A4 and margins inconsistently and writes each table's width as an absolute twip value rather than a percentage of the text column — and that pass lives in no committed script in this repository. </w:t>
      </w:r>
    </w:p>
    <w:p>
      <w:pPr>
        <w:pStyle w:val="BodyText"/>
        <w:numPr>
          <w:ilvl w:val="0"/>
          <w:numId w:val="1"/>
        </w:numPr>
        <w:tabs>
          <w:tab w:val="clear" w:pos="1134"/>
          <w:tab w:val="left" w:pos="829" w:leader="none"/>
        </w:tabs>
        <w:bidi w:val="0"/>
        <w:spacing w:before="120" w:after="0"/>
        <w:ind w:hanging="283" w:left="829"/>
        <w:jc w:val="left"/>
        <w:rPr/>
      </w:pPr>
      <w:r>
        <w:rPr>
          <w:rStyle w:val="SourceText"/>
        </w:rPr>
        <w:t>crew-house-style/SKILL.md</w:t>
      </w:r>
      <w:r>
        <w:rPr/>
        <w:t xml:space="preserve">'s citations into </w:t>
      </w:r>
      <w:r>
        <w:rPr>
          <w:rStyle w:val="SourceText"/>
        </w:rPr>
        <w:t>resolve_brand.py</w:t>
      </w:r>
      <w:r>
        <w:rPr/>
        <w:t xml:space="preserve"> (</w:t>
      </w:r>
      <w:r>
        <w:rPr>
          <w:rStyle w:val="SourceText"/>
        </w:rPr>
        <w:t>:78-82</w:t>
      </w:r>
      <w:r>
        <w:rPr/>
        <w:t xml:space="preserve">, </w:t>
      </w:r>
      <w:r>
        <w:rPr>
          <w:rStyle w:val="SourceText"/>
        </w:rPr>
        <w:t>:317</w:t>
      </w:r>
      <w:r>
        <w:rPr/>
        <w:t xml:space="preserve">, </w:t>
      </w:r>
      <w:r>
        <w:rPr>
          <w:rStyle w:val="SourceText"/>
        </w:rPr>
        <w:t>:66-67</w:t>
      </w:r>
      <w:r>
        <w:rPr/>
        <w:t xml:space="preserve">, </w:t>
      </w:r>
      <w:r>
        <w:rPr>
          <w:rStyle w:val="SourceText"/>
        </w:rPr>
        <w:t>:298-317</w:t>
      </w:r>
      <w:r>
        <w:rPr/>
        <w:t xml:space="preserve">, </w:t>
      </w:r>
      <w:r>
        <w:rPr>
          <w:rStyle w:val="SourceText"/>
        </w:rPr>
        <w:t>:301</w:t>
      </w:r>
      <w:r>
        <w:rPr/>
        <w:t xml:space="preserve">) were hand-verified correct at this commit, but the committed drift test covers only the two citations into </w:t>
      </w:r>
      <w:r>
        <w:rPr>
          <w:rStyle w:val="SourceText"/>
        </w:rPr>
        <w:t>build_report.py</w:t>
      </w:r>
      <w:r>
        <w:rPr/>
        <w:t xml:space="preserve"> in the same section, so the same kind of line-number rot that has hit other citations in this repository would go unnoticed here. </w:t>
      </w:r>
    </w:p>
    <w:p>
      <w:pPr>
        <w:pStyle w:val="BodyText"/>
        <w:numPr>
          <w:ilvl w:val="0"/>
          <w:numId w:val="1"/>
        </w:numPr>
        <w:tabs>
          <w:tab w:val="clear" w:pos="1134"/>
          <w:tab w:val="left" w:pos="829" w:leader="none"/>
        </w:tabs>
        <w:bidi w:val="0"/>
        <w:ind w:hanging="283" w:left="829"/>
        <w:jc w:val="left"/>
        <w:rPr/>
      </w:pPr>
      <w:r>
        <w:rPr>
          <w:rStyle w:val="SourceText"/>
        </w:rPr>
        <w:t>plugin/crew/tests/sabotage.py</w:t>
      </w:r>
      <w:r>
        <w:rPr/>
        <w:t xml:space="preserve"> reports one mutation, in the frozen-artifact path, that goes STILL GREEN under a full run on this Linux host with no identified skip condition explaining it away as a missing interpreter. </w:t>
      </w:r>
    </w:p>
    <w:p>
      <w:pPr>
        <w:pStyle w:val="BodyTextmuted"/>
        <w:bidi w:val="0"/>
        <w:spacing w:before="120" w:after="120"/>
        <w:jc w:val="left"/>
        <w:rPr/>
      </w:pPr>
      <w:r>
        <w:rPr/>
        <w:t xml:space="preserve">Provenance: counts read from the repository at commit 541b2b70 on branch </w:t>
      </w:r>
      <w:r>
        <w:rPr>
          <w:rStyle w:val="SourceText"/>
        </w:rPr>
        <w:t>post-207-checklist</w:t>
      </w:r>
      <w:r>
        <w:rPr/>
        <w:t xml:space="preserve">; the crew 0.20.11 entry is CHANGELOG.md's </w:t>
      </w:r>
      <w:r>
        <w:rPr>
          <w:rStyle w:val="SourceText"/>
        </w:rPr>
        <w:t>[Unreleased]</w:t>
      </w:r>
      <w:r>
        <w:rPr/>
        <w:t xml:space="preserve"> section, top entry; the earlier version table is drawn from the same file's history for those version strings. Not verified: any change landed after 541b2b70; </w:t>
      </w:r>
      <w:r>
        <w:rPr>
          <w:rStyle w:val="SourceText"/>
        </w:rPr>
        <w:t>scripts/_test/drift-detection.sh</w:t>
      </w:r>
      <w:r>
        <w:rPr/>
        <w:t>, which this repository's own CLAUDE.md requires by hand before a change to the plugin update path, was not run for this document.</w:t>
      </w:r>
    </w:p>
    <w:sectPr>
      <w:type w:val="nextPage"/>
      <w:pgSz w:w="12240" w:h="15840"/>
      <w:pgMar w:left="1440" w:right="1440" w:gutter="0" w:header="720" w:top="1440" w:footer="720" w:bottom="1440"/>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1B1B1F"/>
      <w:sz w:val="22"/>
      <w:szCs w:val="22"/>
      <w:lang w:val="en-US" w:eastAsia="zh-CN" w:bidi="hi-IN"/>
    </w:rPr>
  </w:style>
  <w:style w:type="paragraph" w:styleId="Heading1">
    <w:name w:val="heading 1"/>
    <w:basedOn w:val="Heading"/>
    <w:next w:val="BodyText"/>
    <w:qFormat/>
    <w:pPr>
      <w:spacing w:before="240" w:after="80"/>
    </w:pPr>
    <w:rPr>
      <w:b/>
      <w:bCs/>
      <w:color w:val="1F4E79"/>
      <w:sz w:val="44"/>
      <w:szCs w:val="44"/>
    </w:rPr>
  </w:style>
  <w:style w:type="paragraph" w:styleId="Heading2">
    <w:name w:val="heading 2"/>
    <w:basedOn w:val="Heading"/>
    <w:next w:val="BodyText"/>
    <w:qFormat/>
    <w:pPr>
      <w:pBdr>
        <w:bottom w:val="single" w:sz="2" w:space="3" w:color="DCDEE5"/>
      </w:pBdr>
      <w:spacing w:before="480" w:after="160"/>
      <w:ind w:left="480" w:right="480"/>
      <w:outlineLvl w:val="1"/>
    </w:pPr>
    <w:rPr>
      <w:rFonts w:ascii="Liberation Serif" w:hAnsi="Liberation Serif" w:eastAsia="Noto Serif CJK SC" w:cs="Noto Sans Devanagari"/>
      <w:b/>
      <w:bCs/>
      <w:color w:val="1F4E79"/>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1F4E79"/>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muted">
    <w:name w:val="Body Text.muted"/>
    <w:basedOn w:val="BodyText"/>
    <w:qFormat/>
    <w:pPr/>
    <w:rPr>
      <w:color w:val="5C5F6B"/>
      <w:sz w:val="19"/>
      <w:szCs w:val="19"/>
    </w:rPr>
  </w:style>
  <w:style w:type="paragraph" w:styleId="TableHeading">
    <w:name w:val="Table Heading"/>
    <w:basedOn w:val="TableContents"/>
    <w:qFormat/>
    <w:pPr>
      <w:suppressLineNumbers/>
      <w:shd w:fill="1F4E79" w:val="clear"/>
      <w:jc w:val="left"/>
    </w:pPr>
    <w:rPr>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The Crew Plugin: Technical Reference</dc:title>
</cp:coreProperties>
</file>

<file path=docProps/custom.xml><?xml version="1.0" encoding="utf-8"?>
<Properties xmlns="http://schemas.openxmlformats.org/officeDocument/2006/custom-properties" xmlns:vt="http://schemas.openxmlformats.org/officeDocument/2006/docPropsVTypes"/>
</file>