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138 keys</w:t>
      </w:r>
      <w:r>
        <w:rPr/>
        <w:t>: 81 settable in the machine-global file, 57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9"/>
        <w:gridCol w:w="1190"/>
        <w:gridCol w:w="1157"/>
        <w:gridCol w:w="2237"/>
        <w:gridCol w:w="1278"/>
        <w:gridCol w:w="3340"/>
      </w:tblGrid>
      <w:tr>
        <w:trPr>
          <w:tblHeader w:val="true"/>
        </w:trPr>
        <w:tc>
          <w:tcPr>
            <w:tcW w:w="3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1"/>
      <w:bookmarkEnd w:id="40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2"/>
      <w:bookmarkEnd w:id="41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