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133 keys</w:t>
      </w:r>
      <w:r>
        <w:rPr/>
        <w:t>: 74 settable in the machine-global file, 59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01"/>
        <w:gridCol w:w="1284"/>
        <w:gridCol w:w="1156"/>
        <w:gridCol w:w="2240"/>
        <w:gridCol w:w="1349"/>
        <w:gridCol w:w="3141"/>
      </w:tblGrid>
      <w:tr>
        <w:trPr>
          <w:tblHeader w:val="true"/>
        </w:trPr>
        <w:tc>
          <w:tcPr>
            <w:tcW w:w="36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1.0.402</w:t>
            </w:r>
          </w:p>
        </w:tc>
        <w:tc>
          <w:tcPr>
            <w:tcW w:w="31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