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5934"/>
        <w:gridCol w:w="3991"/>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5934" w:type="dxa"/>
            <w:tcBorders/>
            <w:vAlign w:val="center"/>
          </w:tcPr>
          <w:p>
            <w:pPr>
              <w:pStyle w:val="TableHeading"/>
              <w:suppressLineNumbers/>
              <w:shd w:fill="434C5E" w:val="clear"/>
              <w:bidi w:val="0"/>
              <w:spacing w:before="120" w:after="120"/>
              <w:jc w:val="left"/>
              <w:rPr/>
            </w:pPr>
            <w:r>
              <w:rPr/>
              <w:t>What it does</w:t>
            </w:r>
          </w:p>
        </w:tc>
        <w:tc>
          <w:tcPr>
            <w:tcW w:w="3991"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5934" w:type="dxa"/>
            <w:tcBorders/>
            <w:vAlign w:val="center"/>
          </w:tcPr>
          <w:p>
            <w:pPr>
              <w:pStyle w:val="TableContents"/>
              <w:shd w:fill="2E3440" w:val="clear"/>
              <w:bidi w:val="0"/>
              <w:spacing w:before="120" w:after="120"/>
              <w:jc w:val="left"/>
              <w:rPr/>
            </w:pPr>
            <w:r>
              <w:rPr/>
              <w:t>Maps the code a ticket touches</w:t>
            </w:r>
          </w:p>
        </w:tc>
        <w:tc>
          <w:tcPr>
            <w:tcW w:w="3991" w:type="dxa"/>
            <w:tcBorders/>
            <w:vAlign w:val="center"/>
          </w:tcPr>
          <w:p>
            <w:pPr>
              <w:pStyle w:val="TableContents"/>
              <w:shd w:fill="2E3440" w:val="clear"/>
              <w:bidi w:val="0"/>
              <w:spacing w:before="120" w:after="120"/>
              <w:jc w:val="left"/>
              <w:rPr/>
            </w:pPr>
            <w:r>
              <w:rPr/>
              <w:t>No Write or Edit; Bash only to hand its task to Kimi</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5934"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3991"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5934" w:type="dxa"/>
            <w:tcBorders/>
            <w:vAlign w:val="center"/>
          </w:tcPr>
          <w:p>
            <w:pPr>
              <w:pStyle w:val="TableContents"/>
              <w:shd w:fill="2E3440" w:val="clear"/>
              <w:bidi w:val="0"/>
              <w:spacing w:before="120" w:after="120"/>
              <w:jc w:val="left"/>
              <w:rPr/>
            </w:pPr>
            <w:r>
              <w:rPr/>
              <w:t>Read-only review of risky changes</w:t>
            </w:r>
          </w:p>
        </w:tc>
        <w:tc>
          <w:tcPr>
            <w:tcW w:w="3991"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5934" w:type="dxa"/>
            <w:tcBorders/>
            <w:vAlign w:val="center"/>
          </w:tcPr>
          <w:p>
            <w:pPr>
              <w:pStyle w:val="TableContents"/>
              <w:shd w:fill="2E3440" w:val="clear"/>
              <w:bidi w:val="0"/>
              <w:spacing w:before="120" w:after="120"/>
              <w:jc w:val="left"/>
              <w:rPr/>
            </w:pPr>
            <w:r>
              <w:rPr/>
              <w:t>Reads external sources only</w:t>
            </w:r>
          </w:p>
        </w:tc>
        <w:tc>
          <w:tcPr>
            <w:tcW w:w="3991"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the environment guard (</w:t>
      </w:r>
      <w:r>
        <w:rPr>
          <w:rStyle w:val="SourceText"/>
        </w:rPr>
        <w:t>guards.envGuard: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environment guard</w:t>
      </w:r>
      <w:r>
        <w:rPr/>
        <w:t xml:space="preserve"> (</w:t>
      </w:r>
      <w:r>
        <w:rPr>
          <w:rStyle w:val="SourceText"/>
        </w:rPr>
        <w:t>guards.envGuard</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