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The Rule-of-Two Plugin: Technical Reference</w:t>
      </w:r>
    </w:p>
    <w:p>
      <w:pPr>
        <w:pStyle w:val="BodyTextmuted"/>
        <w:bidi w:val="0"/>
        <w:jc w:val="left"/>
        <w:rPr/>
      </w:pPr>
      <w:r>
        <w:rPr/>
        <w:t>Generated from useful-claude-add-ons@541b2b70 on 2026-09-22. Verify before trusting.</w:t>
        <w:br/>
        <w:t>The low-level guide, for the people who install, configure and extend rule-of-two. A companion overview covers the same ground in plain language. Written against rule-of-two 0.1.3, commit 541b2b70.</w:t>
      </w:r>
    </w:p>
    <w:p>
      <w:pPr>
        <w:pStyle w:val="BodyText"/>
        <w:bidi w:val="0"/>
        <w:spacing w:before="200" w:after="200"/>
        <w:ind w:hanging="0" w:left="200" w:right="200"/>
        <w:jc w:val="left"/>
        <w:rPr/>
      </w:pPr>
      <w:r>
        <w:rPr>
          <w:b/>
          <w:shd w:fill="F6F7F9" w:val="clear"/>
        </w:rPr>
        <w:t>Design constraint.</w:t>
      </w:r>
      <w:r>
        <w:rPr>
          <w:shd w:fill="F6F7F9" w:val="clear"/>
        </w:rPr>
        <w:t xml:space="preserve"> "Only one reviewer ran" is its own reported outcome, never folded into a passing report. Coverage is computed by </w:t>
      </w:r>
      <w:r>
        <w:rPr>
          <w:rStyle w:val="SourceText"/>
          <w:shd w:fill="F6F7F9" w:val="clear"/>
        </w:rPr>
        <w:t>scripts/rule_of_two.py</w:t>
      </w:r>
      <w:r>
        <w:rPr>
          <w:shd w:fill="F6F7F9" w:val="clear"/>
        </w:rPr>
        <w:t>, never left to a model mid-report, and every coverage assertion in the test suite is made against the rendered report text rather than against the coverage function alone — a value computed correctly can still be dropped on the way to the page.</w:t>
      </w:r>
    </w:p>
    <w:p>
      <w:pPr>
        <w:pStyle w:val="Heading2"/>
        <w:bidi w:val="0"/>
        <w:ind w:hanging="0"/>
        <w:jc w:val="left"/>
        <w:rPr/>
      </w:pPr>
      <w:r>
        <w:rPr/>
        <w:t>1. Layout</w:t>
      </w:r>
    </w:p>
    <w:tbl>
      <w:tblPr>
        <w:tblW w:w="5000" w:type="pct"/>
        <w:jc w:val="left"/>
        <w:tblInd w:w="28" w:type="dxa"/>
        <w:tblLayout w:type="fixed"/>
        <w:tblCellMar>
          <w:top w:w="28" w:type="dxa"/>
          <w:left w:w="28" w:type="dxa"/>
          <w:bottom w:w="28" w:type="dxa"/>
          <w:right w:w="28" w:type="dxa"/>
        </w:tblCellMar>
      </w:tblPr>
      <w:tblGrid>
        <w:gridCol w:w="3192"/>
        <w:gridCol w:w="8147"/>
      </w:tblGrid>
      <w:tr>
        <w:trPr>
          <w:tblHeader w:val="true"/>
        </w:trPr>
        <w:tc>
          <w:tcPr>
            <w:tcW w:w="3192" w:type="dxa"/>
            <w:tcBorders/>
            <w:vAlign w:val="center"/>
          </w:tcPr>
          <w:p>
            <w:pPr>
              <w:pStyle w:val="TableHeading"/>
              <w:suppressLineNumbers/>
              <w:shd w:fill="1F4E79" w:val="clear"/>
              <w:bidi w:val="0"/>
              <w:spacing w:before="120" w:after="120"/>
              <w:jc w:val="left"/>
              <w:rPr/>
            </w:pPr>
            <w:r>
              <w:rPr/>
              <w:t>Path</w:t>
            </w:r>
          </w:p>
        </w:tc>
        <w:tc>
          <w:tcPr>
            <w:tcW w:w="8147" w:type="dxa"/>
            <w:tcBorders/>
            <w:vAlign w:val="center"/>
          </w:tcPr>
          <w:p>
            <w:pPr>
              <w:pStyle w:val="TableHeading"/>
              <w:suppressLineNumbers/>
              <w:shd w:fill="1F4E79" w:val="clear"/>
              <w:bidi w:val="0"/>
              <w:spacing w:before="120" w:after="120"/>
              <w:jc w:val="left"/>
              <w:rPr/>
            </w:pPr>
            <w:r>
              <w:rPr/>
              <w:t>Contents</w:t>
            </w:r>
          </w:p>
        </w:tc>
      </w:tr>
      <w:tr>
        <w:trPr/>
        <w:tc>
          <w:tcPr>
            <w:tcW w:w="3192" w:type="dxa"/>
            <w:tcBorders/>
            <w:vAlign w:val="center"/>
          </w:tcPr>
          <w:p>
            <w:pPr>
              <w:pStyle w:val="TableContents"/>
              <w:bidi w:val="0"/>
              <w:spacing w:before="120" w:after="120"/>
              <w:jc w:val="left"/>
              <w:rPr/>
            </w:pPr>
            <w:r>
              <w:rPr>
                <w:rStyle w:val="SourceText"/>
              </w:rPr>
              <w:t>.claude-plugin/plugin.json</w:t>
            </w:r>
          </w:p>
        </w:tc>
        <w:tc>
          <w:tcPr>
            <w:tcW w:w="8147" w:type="dxa"/>
            <w:tcBorders/>
            <w:vAlign w:val="center"/>
          </w:tcPr>
          <w:p>
            <w:pPr>
              <w:pStyle w:val="TableContents"/>
              <w:bidi w:val="0"/>
              <w:spacing w:before="120" w:after="120"/>
              <w:jc w:val="left"/>
              <w:rPr/>
            </w:pPr>
            <w:r>
              <w:rPr/>
              <w:t>Name, version (0.1.3), description, licence (GPL-2.0-only). No hooks registered.</w:t>
            </w:r>
          </w:p>
        </w:tc>
      </w:tr>
      <w:tr>
        <w:trPr/>
        <w:tc>
          <w:tcPr>
            <w:tcW w:w="3192" w:type="dxa"/>
            <w:tcBorders/>
            <w:vAlign w:val="center"/>
          </w:tcPr>
          <w:p>
            <w:pPr>
              <w:pStyle w:val="TableContents"/>
              <w:bidi w:val="0"/>
              <w:spacing w:before="120" w:after="120"/>
              <w:jc w:val="left"/>
              <w:rPr/>
            </w:pPr>
            <w:r>
              <w:rPr>
                <w:rStyle w:val="SourceText"/>
              </w:rPr>
              <w:t>agents/reviewer-claude.md</w:t>
            </w:r>
          </w:p>
        </w:tc>
        <w:tc>
          <w:tcPr>
            <w:tcW w:w="8147" w:type="dxa"/>
            <w:tcBorders/>
            <w:vAlign w:val="center"/>
          </w:tcPr>
          <w:p>
            <w:pPr>
              <w:pStyle w:val="TableContents"/>
              <w:bidi w:val="0"/>
              <w:spacing w:before="120" w:after="120"/>
              <w:jc w:val="left"/>
              <w:rPr/>
            </w:pPr>
            <w:r>
              <w:rPr/>
              <w:t xml:space="preserve">The Claude-side reviewer. </w:t>
            </w:r>
            <w:r>
              <w:rPr>
                <w:rStyle w:val="SourceText"/>
              </w:rPr>
              <w:t>model: fable</w:t>
            </w:r>
            <w:r>
              <w:rPr/>
              <w:t xml:space="preserve"> — a dispatch alias, not a full model id.</w:t>
            </w:r>
          </w:p>
        </w:tc>
      </w:tr>
      <w:tr>
        <w:trPr/>
        <w:tc>
          <w:tcPr>
            <w:tcW w:w="3192" w:type="dxa"/>
            <w:tcBorders/>
            <w:vAlign w:val="center"/>
          </w:tcPr>
          <w:p>
            <w:pPr>
              <w:pStyle w:val="TableContents"/>
              <w:bidi w:val="0"/>
              <w:spacing w:before="120" w:after="120"/>
              <w:jc w:val="left"/>
              <w:rPr/>
            </w:pPr>
            <w:r>
              <w:rPr>
                <w:rStyle w:val="SourceText"/>
              </w:rPr>
              <w:t>commands/review.md</w:t>
            </w:r>
          </w:p>
        </w:tc>
        <w:tc>
          <w:tcPr>
            <w:tcW w:w="8147" w:type="dxa"/>
            <w:tcBorders/>
            <w:vAlign w:val="center"/>
          </w:tcPr>
          <w:p>
            <w:pPr>
              <w:pStyle w:val="TableContents"/>
              <w:bidi w:val="0"/>
              <w:spacing w:before="120" w:after="120"/>
              <w:jc w:val="left"/>
              <w:rPr/>
            </w:pPr>
            <w:r>
              <w:rPr>
                <w:rStyle w:val="SourceText"/>
              </w:rPr>
              <w:t>/rule-of-two:review &lt;path&gt;</w:t>
            </w:r>
            <w:r>
              <w:rPr/>
              <w:t>.</w:t>
            </w:r>
          </w:p>
        </w:tc>
      </w:tr>
      <w:tr>
        <w:trPr/>
        <w:tc>
          <w:tcPr>
            <w:tcW w:w="3192" w:type="dxa"/>
            <w:tcBorders/>
            <w:vAlign w:val="center"/>
          </w:tcPr>
          <w:p>
            <w:pPr>
              <w:pStyle w:val="TableContents"/>
              <w:bidi w:val="0"/>
              <w:spacing w:before="120" w:after="120"/>
              <w:jc w:val="left"/>
              <w:rPr/>
            </w:pPr>
            <w:r>
              <w:rPr>
                <w:rStyle w:val="SourceText"/>
              </w:rPr>
              <w:t>commands/config.md</w:t>
            </w:r>
          </w:p>
        </w:tc>
        <w:tc>
          <w:tcPr>
            <w:tcW w:w="8147" w:type="dxa"/>
            <w:tcBorders/>
            <w:vAlign w:val="center"/>
          </w:tcPr>
          <w:p>
            <w:pPr>
              <w:pStyle w:val="TableContents"/>
              <w:bidi w:val="0"/>
              <w:spacing w:before="120" w:after="120"/>
              <w:jc w:val="left"/>
              <w:rPr/>
            </w:pPr>
            <w:r>
              <w:rPr>
                <w:rStyle w:val="SourceText"/>
              </w:rPr>
              <w:t>/rule-of-two:config</w:t>
            </w:r>
            <w:r>
              <w:rPr/>
              <w:t>.</w:t>
            </w:r>
          </w:p>
        </w:tc>
      </w:tr>
      <w:tr>
        <w:trPr/>
        <w:tc>
          <w:tcPr>
            <w:tcW w:w="3192" w:type="dxa"/>
            <w:tcBorders/>
            <w:vAlign w:val="center"/>
          </w:tcPr>
          <w:p>
            <w:pPr>
              <w:pStyle w:val="TableContents"/>
              <w:bidi w:val="0"/>
              <w:spacing w:before="120" w:after="120"/>
              <w:jc w:val="left"/>
              <w:rPr/>
            </w:pPr>
            <w:r>
              <w:rPr>
                <w:rStyle w:val="SourceText"/>
              </w:rPr>
              <w:t>scripts/rule_of_two.py</w:t>
            </w:r>
          </w:p>
        </w:tc>
        <w:tc>
          <w:tcPr>
            <w:tcW w:w="8147" w:type="dxa"/>
            <w:tcBorders/>
            <w:vAlign w:val="center"/>
          </w:tcPr>
          <w:p>
            <w:pPr>
              <w:pStyle w:val="TableContents"/>
              <w:bidi w:val="0"/>
              <w:spacing w:before="120" w:after="120"/>
              <w:jc w:val="left"/>
              <w:rPr/>
            </w:pPr>
            <w:r>
              <w:rPr/>
              <w:t>Config resolution, family detection, the Codex subprocess wrapper, coverage computation, and report rendering. Single file, no package.</w:t>
            </w:r>
          </w:p>
        </w:tc>
      </w:tr>
      <w:tr>
        <w:trPr/>
        <w:tc>
          <w:tcPr>
            <w:tcW w:w="3192" w:type="dxa"/>
            <w:tcBorders/>
            <w:vAlign w:val="center"/>
          </w:tcPr>
          <w:p>
            <w:pPr>
              <w:pStyle w:val="TableContents"/>
              <w:bidi w:val="0"/>
              <w:spacing w:before="120" w:after="120"/>
              <w:jc w:val="left"/>
              <w:rPr/>
            </w:pPr>
            <w:r>
              <w:rPr>
                <w:rStyle w:val="SourceText"/>
              </w:rPr>
              <w:t>scripts/_test/test_rule_of_two.py</w:t>
            </w:r>
          </w:p>
        </w:tc>
        <w:tc>
          <w:tcPr>
            <w:tcW w:w="8147" w:type="dxa"/>
            <w:tcBorders/>
            <w:vAlign w:val="center"/>
          </w:tcPr>
          <w:p>
            <w:pPr>
              <w:pStyle w:val="TableContents"/>
              <w:bidi w:val="0"/>
              <w:spacing w:before="120" w:after="120"/>
              <w:jc w:val="left"/>
              <w:rPr/>
            </w:pPr>
            <w:r>
              <w:rPr/>
              <w:t xml:space="preserve">The invariant suite plus a </w:t>
            </w:r>
            <w:r>
              <w:rPr>
                <w:rStyle w:val="SourceText"/>
              </w:rPr>
              <w:t>--sabotage</w:t>
            </w:r>
            <w:r>
              <w:rPr/>
              <w:t xml:space="preserve"> mode. One test module.</w:t>
            </w:r>
          </w:p>
        </w:tc>
      </w:tr>
      <w:tr>
        <w:trPr/>
        <w:tc>
          <w:tcPr>
            <w:tcW w:w="3192" w:type="dxa"/>
            <w:tcBorders/>
            <w:vAlign w:val="center"/>
          </w:tcPr>
          <w:p>
            <w:pPr>
              <w:pStyle w:val="TableContents"/>
              <w:bidi w:val="0"/>
              <w:spacing w:before="120" w:after="120"/>
              <w:jc w:val="left"/>
              <w:rPr/>
            </w:pPr>
            <w:r>
              <w:rPr>
                <w:rStyle w:val="SourceText"/>
              </w:rPr>
              <w:t>templates/rubric.md</w:t>
            </w:r>
          </w:p>
        </w:tc>
        <w:tc>
          <w:tcPr>
            <w:tcW w:w="8147" w:type="dxa"/>
            <w:tcBorders/>
            <w:vAlign w:val="center"/>
          </w:tcPr>
          <w:p>
            <w:pPr>
              <w:pStyle w:val="TableContents"/>
              <w:bidi w:val="0"/>
              <w:spacing w:before="120" w:after="120"/>
              <w:jc w:val="left"/>
              <w:rPr/>
            </w:pPr>
            <w:r>
              <w:rPr/>
              <w:t>The one written contract both reviewers work from: how to read the artifact, what to run, which failure shapes to hunt, the verdict shape, section order.</w:t>
            </w:r>
          </w:p>
        </w:tc>
      </w:tr>
    </w:tbl>
    <w:p>
      <w:pPr>
        <w:pStyle w:val="BodyText"/>
        <w:bidi w:val="0"/>
        <w:jc w:val="left"/>
        <w:rPr/>
      </w:pPr>
      <w:r>
        <w:rPr/>
        <w:t xml:space="preserve">Deliberately no </w:t>
      </w:r>
      <w:r>
        <w:rPr>
          <w:rStyle w:val="SourceText"/>
        </w:rPr>
        <w:t>agents/reviewer-codex.md</w:t>
      </w:r>
      <w:r>
        <w:rPr/>
        <w:t xml:space="preserve">: an agent file can only carry </w:t>
      </w:r>
      <w:r>
        <w:rPr>
          <w:rStyle w:val="SourceText"/>
        </w:rPr>
        <w:t>model: sonnet|opus|fable</w:t>
      </w:r>
      <w:r>
        <w:rPr/>
        <w:t xml:space="preserve">, which would be a Claude wrapper wearing an independence label. The Codex review text comes from the </w:t>
      </w:r>
      <w:r>
        <w:rPr>
          <w:rStyle w:val="SourceText"/>
        </w:rPr>
        <w:t>codex</w:t>
      </w:r>
      <w:r>
        <w:rPr/>
        <w:t xml:space="preserve"> CLI, invoked directly by </w:t>
      </w:r>
      <w:r>
        <w:rPr>
          <w:rStyle w:val="SourceText"/>
        </w:rPr>
        <w:t>rule_of_two.py</w:t>
      </w:r>
      <w:r>
        <w:rPr/>
        <w:t>.</w:t>
      </w:r>
    </w:p>
    <w:p>
      <w:pPr>
        <w:pStyle w:val="Heading2"/>
        <w:bidi w:val="0"/>
        <w:jc w:val="left"/>
        <w:rPr/>
      </w:pPr>
      <w:r>
        <w:rPr/>
        <w:t>2. The CLI Subcommands</w:t>
      </w:r>
    </w:p>
    <w:tbl>
      <w:tblPr>
        <w:tblW w:w="5000" w:type="pct"/>
        <w:jc w:val="left"/>
        <w:tblInd w:w="28" w:type="dxa"/>
        <w:tblLayout w:type="fixed"/>
        <w:tblCellMar>
          <w:top w:w="28" w:type="dxa"/>
          <w:left w:w="28" w:type="dxa"/>
          <w:bottom w:w="28" w:type="dxa"/>
          <w:right w:w="28" w:type="dxa"/>
        </w:tblCellMar>
      </w:tblPr>
      <w:tblGrid>
        <w:gridCol w:w="1778"/>
        <w:gridCol w:w="4319"/>
        <w:gridCol w:w="5242"/>
      </w:tblGrid>
      <w:tr>
        <w:trPr>
          <w:tblHeader w:val="true"/>
        </w:trPr>
        <w:tc>
          <w:tcPr>
            <w:tcW w:w="1778" w:type="dxa"/>
            <w:tcBorders/>
            <w:vAlign w:val="center"/>
          </w:tcPr>
          <w:p>
            <w:pPr>
              <w:pStyle w:val="TableHeading"/>
              <w:suppressLineNumbers/>
              <w:shd w:fill="1F4E79" w:val="clear"/>
              <w:bidi w:val="0"/>
              <w:spacing w:before="120" w:after="120"/>
              <w:jc w:val="left"/>
              <w:rPr/>
            </w:pPr>
            <w:r>
              <w:rPr/>
              <w:t>Subcommand</w:t>
            </w:r>
          </w:p>
        </w:tc>
        <w:tc>
          <w:tcPr>
            <w:tcW w:w="4319" w:type="dxa"/>
            <w:tcBorders/>
            <w:vAlign w:val="center"/>
          </w:tcPr>
          <w:p>
            <w:pPr>
              <w:pStyle w:val="TableHeading"/>
              <w:suppressLineNumbers/>
              <w:shd w:fill="1F4E79" w:val="clear"/>
              <w:bidi w:val="0"/>
              <w:spacing w:before="120" w:after="120"/>
              <w:jc w:val="left"/>
              <w:rPr/>
            </w:pPr>
            <w:r>
              <w:rPr/>
              <w:t>Key arguments</w:t>
            </w:r>
          </w:p>
        </w:tc>
        <w:tc>
          <w:tcPr>
            <w:tcW w:w="5242" w:type="dxa"/>
            <w:tcBorders/>
            <w:vAlign w:val="center"/>
          </w:tcPr>
          <w:p>
            <w:pPr>
              <w:pStyle w:val="TableHeading"/>
              <w:suppressLineNumbers/>
              <w:shd w:fill="1F4E79" w:val="clear"/>
              <w:bidi w:val="0"/>
              <w:spacing w:before="120" w:after="120"/>
              <w:jc w:val="left"/>
              <w:rPr/>
            </w:pPr>
            <w:r>
              <w:rPr/>
              <w:t>Does</w:t>
            </w:r>
          </w:p>
        </w:tc>
      </w:tr>
      <w:tr>
        <w:trPr/>
        <w:tc>
          <w:tcPr>
            <w:tcW w:w="1778" w:type="dxa"/>
            <w:tcBorders/>
            <w:vAlign w:val="center"/>
          </w:tcPr>
          <w:p>
            <w:pPr>
              <w:pStyle w:val="TableContents"/>
              <w:bidi w:val="0"/>
              <w:spacing w:before="120" w:after="120"/>
              <w:jc w:val="left"/>
              <w:rPr/>
            </w:pPr>
            <w:r>
              <w:rPr>
                <w:rStyle w:val="SourceText"/>
              </w:rPr>
              <w:t>config</w:t>
            </w:r>
          </w:p>
        </w:tc>
        <w:tc>
          <w:tcPr>
            <w:tcW w:w="4319" w:type="dxa"/>
            <w:tcBorders/>
            <w:vAlign w:val="center"/>
          </w:tcPr>
          <w:p>
            <w:pPr>
              <w:pStyle w:val="TableContents"/>
              <w:bidi w:val="0"/>
              <w:spacing w:before="120" w:after="120"/>
              <w:jc w:val="left"/>
              <w:rPr/>
            </w:pPr>
            <w:r>
              <w:rPr/>
              <w:t>none</w:t>
            </w:r>
          </w:p>
        </w:tc>
        <w:tc>
          <w:tcPr>
            <w:tcW w:w="5242" w:type="dxa"/>
            <w:tcBorders/>
            <w:vAlign w:val="center"/>
          </w:tcPr>
          <w:p>
            <w:pPr>
              <w:pStyle w:val="TableContents"/>
              <w:bidi w:val="0"/>
              <w:spacing w:before="120" w:after="120"/>
              <w:jc w:val="left"/>
              <w:rPr/>
            </w:pPr>
            <w:r>
              <w:rPr/>
              <w:t xml:space="preserve">Prints the resolved config: the two models, their families, the config source, and </w:t>
            </w:r>
            <w:r>
              <w:rPr>
                <w:rStyle w:val="SourceText"/>
              </w:rPr>
              <w:t>codex_found</w:t>
            </w:r>
            <w:r>
              <w:rPr/>
              <w:t>.</w:t>
            </w:r>
          </w:p>
        </w:tc>
      </w:tr>
      <w:tr>
        <w:trPr/>
        <w:tc>
          <w:tcPr>
            <w:tcW w:w="1778" w:type="dxa"/>
            <w:tcBorders/>
            <w:vAlign w:val="center"/>
          </w:tcPr>
          <w:p>
            <w:pPr>
              <w:pStyle w:val="TableContents"/>
              <w:bidi w:val="0"/>
              <w:spacing w:before="120" w:after="120"/>
              <w:jc w:val="left"/>
              <w:rPr/>
            </w:pPr>
            <w:r>
              <w:rPr>
                <w:rStyle w:val="SourceText"/>
              </w:rPr>
              <w:t>record-claude</w:t>
            </w:r>
          </w:p>
        </w:tc>
        <w:tc>
          <w:tcPr>
            <w:tcW w:w="4319" w:type="dxa"/>
            <w:tcBorders/>
            <w:vAlign w:val="center"/>
          </w:tcPr>
          <w:p>
            <w:pPr>
              <w:pStyle w:val="TableContents"/>
              <w:bidi w:val="0"/>
              <w:spacing w:before="120" w:after="120"/>
              <w:jc w:val="left"/>
              <w:rPr/>
            </w:pPr>
            <w:r>
              <w:rPr>
                <w:rStyle w:val="SourceText"/>
              </w:rPr>
              <w:t>--model</w:t>
            </w:r>
            <w:r>
              <w:rPr/>
              <w:t xml:space="preserve">, </w:t>
            </w:r>
            <w:r>
              <w:rPr>
                <w:rStyle w:val="SourceText"/>
              </w:rPr>
              <w:t>--model-id</w:t>
            </w:r>
            <w:r>
              <w:rPr/>
              <w:t xml:space="preserve">, </w:t>
            </w:r>
            <w:r>
              <w:rPr>
                <w:rStyle w:val="SourceText"/>
              </w:rPr>
              <w:t>--text-file</w:t>
            </w:r>
            <w:r>
              <w:rPr/>
              <w:t xml:space="preserve">, </w:t>
            </w:r>
            <w:r>
              <w:rPr>
                <w:rStyle w:val="SourceText"/>
              </w:rPr>
              <w:t>--log-file</w:t>
            </w:r>
            <w:r>
              <w:rPr/>
              <w:t xml:space="preserve">, </w:t>
            </w:r>
            <w:r>
              <w:rPr>
                <w:rStyle w:val="SourceText"/>
              </w:rPr>
              <w:t>--out</w:t>
            </w:r>
            <w:r>
              <w:rPr/>
              <w:t xml:space="preserve">, one of </w:t>
            </w:r>
            <w:r>
              <w:rPr>
                <w:rStyle w:val="SourceText"/>
              </w:rPr>
              <w:t>--ran</w:t>
            </w:r>
            <w:r>
              <w:rPr/>
              <w:t>/</w:t>
            </w:r>
            <w:r>
              <w:rPr>
                <w:rStyle w:val="SourceText"/>
              </w:rPr>
              <w:t>--failed</w:t>
            </w:r>
            <w:r>
              <w:rPr/>
              <w:t xml:space="preserve"> (required, mutually exclusive)</w:t>
            </w:r>
          </w:p>
        </w:tc>
        <w:tc>
          <w:tcPr>
            <w:tcW w:w="5242" w:type="dxa"/>
            <w:tcBorders/>
            <w:vAlign w:val="center"/>
          </w:tcPr>
          <w:p>
            <w:pPr>
              <w:pStyle w:val="TableContents"/>
              <w:bidi w:val="0"/>
              <w:spacing w:before="120" w:after="120"/>
              <w:jc w:val="left"/>
              <w:rPr/>
            </w:pPr>
            <w:r>
              <w:rPr/>
              <w:t>Records the Claude reviewer's outcome. The caller must state success or failure explicitly — it is never inferred from whether the output file is non-empty.</w:t>
            </w:r>
          </w:p>
        </w:tc>
      </w:tr>
      <w:tr>
        <w:trPr/>
        <w:tc>
          <w:tcPr>
            <w:tcW w:w="1778" w:type="dxa"/>
            <w:tcBorders/>
            <w:vAlign w:val="center"/>
          </w:tcPr>
          <w:p>
            <w:pPr>
              <w:pStyle w:val="TableContents"/>
              <w:bidi w:val="0"/>
              <w:spacing w:before="120" w:after="120"/>
              <w:jc w:val="left"/>
              <w:rPr/>
            </w:pPr>
            <w:r>
              <w:rPr>
                <w:rStyle w:val="SourceText"/>
              </w:rPr>
              <w:t>build-prompt</w:t>
            </w:r>
          </w:p>
        </w:tc>
        <w:tc>
          <w:tcPr>
            <w:tcW w:w="4319" w:type="dxa"/>
            <w:tcBorders/>
            <w:vAlign w:val="center"/>
          </w:tcPr>
          <w:p>
            <w:pPr>
              <w:pStyle w:val="TableContents"/>
              <w:bidi w:val="0"/>
              <w:spacing w:before="120" w:after="120"/>
              <w:jc w:val="left"/>
              <w:rPr/>
            </w:pPr>
            <w:r>
              <w:rPr>
                <w:rStyle w:val="SourceText"/>
              </w:rPr>
              <w:t>--artifact</w:t>
            </w:r>
            <w:r>
              <w:rPr/>
              <w:t xml:space="preserve">, </w:t>
            </w:r>
            <w:r>
              <w:rPr>
                <w:rStyle w:val="SourceText"/>
              </w:rPr>
              <w:t>--out</w:t>
            </w:r>
          </w:p>
        </w:tc>
        <w:tc>
          <w:tcPr>
            <w:tcW w:w="5242" w:type="dxa"/>
            <w:tcBorders/>
            <w:vAlign w:val="center"/>
          </w:tcPr>
          <w:p>
            <w:pPr>
              <w:pStyle w:val="TableContents"/>
              <w:bidi w:val="0"/>
              <w:spacing w:before="120" w:after="120"/>
              <w:jc w:val="left"/>
              <w:rPr/>
            </w:pPr>
            <w:r>
              <w:rPr/>
              <w:t xml:space="preserve">Builds the prompt handed to Codex, from the same </w:t>
            </w:r>
            <w:r>
              <w:rPr>
                <w:rStyle w:val="SourceText"/>
              </w:rPr>
              <w:t>templates/rubric.md</w:t>
            </w:r>
            <w:r>
              <w:rPr/>
              <w:t xml:space="preserve"> the Claude agent uses.</w:t>
            </w:r>
          </w:p>
        </w:tc>
      </w:tr>
      <w:tr>
        <w:trPr/>
        <w:tc>
          <w:tcPr>
            <w:tcW w:w="1778" w:type="dxa"/>
            <w:tcBorders/>
            <w:vAlign w:val="center"/>
          </w:tcPr>
          <w:p>
            <w:pPr>
              <w:pStyle w:val="TableContents"/>
              <w:bidi w:val="0"/>
              <w:spacing w:before="120" w:after="120"/>
              <w:jc w:val="left"/>
              <w:rPr/>
            </w:pPr>
            <w:r>
              <w:rPr>
                <w:rStyle w:val="SourceText"/>
              </w:rPr>
              <w:t>codex</w:t>
            </w:r>
          </w:p>
        </w:tc>
        <w:tc>
          <w:tcPr>
            <w:tcW w:w="4319" w:type="dxa"/>
            <w:tcBorders/>
            <w:vAlign w:val="center"/>
          </w:tcPr>
          <w:p>
            <w:pPr>
              <w:pStyle w:val="TableContents"/>
              <w:bidi w:val="0"/>
              <w:spacing w:before="120" w:after="120"/>
              <w:jc w:val="left"/>
              <w:rPr/>
            </w:pPr>
            <w:r>
              <w:rPr>
                <w:rStyle w:val="SourceText"/>
              </w:rPr>
              <w:t>--prompt-file</w:t>
            </w:r>
            <w:r>
              <w:rPr/>
              <w:t xml:space="preserve">, </w:t>
            </w:r>
            <w:r>
              <w:rPr>
                <w:rStyle w:val="SourceText"/>
              </w:rPr>
              <w:t>--model</w:t>
            </w:r>
            <w:r>
              <w:rPr/>
              <w:t xml:space="preserve">, </w:t>
            </w:r>
            <w:r>
              <w:rPr>
                <w:rStyle w:val="SourceText"/>
              </w:rPr>
              <w:t>--out</w:t>
            </w:r>
          </w:p>
        </w:tc>
        <w:tc>
          <w:tcPr>
            <w:tcW w:w="5242" w:type="dxa"/>
            <w:tcBorders/>
            <w:vAlign w:val="center"/>
          </w:tcPr>
          <w:p>
            <w:pPr>
              <w:pStyle w:val="TableContents"/>
              <w:bidi w:val="0"/>
              <w:spacing w:before="120" w:after="120"/>
              <w:jc w:val="left"/>
              <w:rPr/>
            </w:pPr>
            <w:r>
              <w:rPr/>
              <w:t xml:space="preserve">Runs </w:t>
            </w:r>
            <w:r>
              <w:rPr>
                <w:rStyle w:val="SourceText"/>
              </w:rPr>
              <w:t>run_codex</w:t>
            </w:r>
            <w:r>
              <w:rPr/>
              <w:t xml:space="preserve">: stdin redirected from </w:t>
            </w:r>
            <w:r>
              <w:rPr>
                <w:rStyle w:val="SourceText"/>
              </w:rPr>
              <w:t>/dev/null</w:t>
            </w:r>
            <w:r>
              <w:rPr/>
              <w:t xml:space="preserve">, an explicit timeout, </w:t>
            </w:r>
            <w:r>
              <w:rPr>
                <w:rStyle w:val="SourceText"/>
              </w:rPr>
              <w:t>-s read-only</w:t>
            </w:r>
            <w:r>
              <w:rPr/>
              <w:t xml:space="preserve"> so Codex cannot write anything, not even a scratch directory.</w:t>
            </w:r>
          </w:p>
        </w:tc>
      </w:tr>
      <w:tr>
        <w:trPr/>
        <w:tc>
          <w:tcPr>
            <w:tcW w:w="1778" w:type="dxa"/>
            <w:tcBorders/>
            <w:vAlign w:val="center"/>
          </w:tcPr>
          <w:p>
            <w:pPr>
              <w:pStyle w:val="TableContents"/>
              <w:bidi w:val="0"/>
              <w:spacing w:before="120" w:after="120"/>
              <w:jc w:val="left"/>
              <w:rPr/>
            </w:pPr>
            <w:r>
              <w:rPr>
                <w:rStyle w:val="SourceText"/>
              </w:rPr>
              <w:t>render</w:t>
            </w:r>
          </w:p>
        </w:tc>
        <w:tc>
          <w:tcPr>
            <w:tcW w:w="4319" w:type="dxa"/>
            <w:tcBorders/>
            <w:vAlign w:val="center"/>
          </w:tcPr>
          <w:p>
            <w:pPr>
              <w:pStyle w:val="TableContents"/>
              <w:bidi w:val="0"/>
              <w:spacing w:before="120" w:after="120"/>
              <w:jc w:val="left"/>
              <w:rPr/>
            </w:pPr>
            <w:r>
              <w:rPr>
                <w:rStyle w:val="SourceText"/>
              </w:rPr>
              <w:t>--state</w:t>
            </w:r>
            <w:r>
              <w:rPr/>
              <w:t xml:space="preserve">, </w:t>
            </w:r>
            <w:r>
              <w:rPr>
                <w:rStyle w:val="SourceText"/>
              </w:rPr>
              <w:t>--out</w:t>
            </w:r>
          </w:p>
        </w:tc>
        <w:tc>
          <w:tcPr>
            <w:tcW w:w="5242" w:type="dxa"/>
            <w:tcBorders/>
            <w:vAlign w:val="center"/>
          </w:tcPr>
          <w:p>
            <w:pPr>
              <w:pStyle w:val="TableContents"/>
              <w:bidi w:val="0"/>
              <w:spacing w:before="120" w:after="120"/>
              <w:jc w:val="left"/>
              <w:rPr/>
            </w:pPr>
            <w:r>
              <w:rPr/>
              <w:t>Renders a report from a previously assembled state file.</w:t>
            </w:r>
          </w:p>
        </w:tc>
      </w:tr>
      <w:tr>
        <w:trPr/>
        <w:tc>
          <w:tcPr>
            <w:tcW w:w="1778" w:type="dxa"/>
            <w:tcBorders/>
            <w:vAlign w:val="center"/>
          </w:tcPr>
          <w:p>
            <w:pPr>
              <w:pStyle w:val="TableContents"/>
              <w:bidi w:val="0"/>
              <w:spacing w:before="120" w:after="120"/>
              <w:jc w:val="left"/>
              <w:rPr/>
            </w:pPr>
            <w:r>
              <w:rPr>
                <w:rStyle w:val="SourceText"/>
              </w:rPr>
              <w:t>assemble</w:t>
            </w:r>
          </w:p>
        </w:tc>
        <w:tc>
          <w:tcPr>
            <w:tcW w:w="4319" w:type="dxa"/>
            <w:tcBorders/>
            <w:vAlign w:val="center"/>
          </w:tcPr>
          <w:p>
            <w:pPr>
              <w:pStyle w:val="TableContents"/>
              <w:bidi w:val="0"/>
              <w:spacing w:before="120" w:after="120"/>
              <w:jc w:val="left"/>
              <w:rPr/>
            </w:pPr>
            <w:r>
              <w:rPr>
                <w:rStyle w:val="SourceText"/>
              </w:rPr>
              <w:t>--artifact</w:t>
            </w:r>
            <w:r>
              <w:rPr/>
              <w:t xml:space="preserve">, </w:t>
            </w:r>
            <w:r>
              <w:rPr>
                <w:rStyle w:val="SourceText"/>
              </w:rPr>
              <w:t>--claude-result</w:t>
            </w:r>
            <w:r>
              <w:rPr/>
              <w:t xml:space="preserve">, </w:t>
            </w:r>
            <w:r>
              <w:rPr>
                <w:rStyle w:val="SourceText"/>
              </w:rPr>
              <w:t>--codex-result</w:t>
            </w:r>
            <w:r>
              <w:rPr/>
              <w:t xml:space="preserve">, </w:t>
            </w:r>
            <w:r>
              <w:rPr>
                <w:rStyle w:val="SourceText"/>
              </w:rPr>
              <w:t>--out</w:t>
            </w:r>
            <w:r>
              <w:rPr/>
              <w:t xml:space="preserve">, </w:t>
            </w:r>
            <w:r>
              <w:rPr>
                <w:rStyle w:val="SourceText"/>
              </w:rPr>
              <w:t>--state-out</w:t>
            </w:r>
          </w:p>
        </w:tc>
        <w:tc>
          <w:tcPr>
            <w:tcW w:w="5242" w:type="dxa"/>
            <w:tcBorders/>
            <w:vAlign w:val="center"/>
          </w:tcPr>
          <w:p>
            <w:pPr>
              <w:pStyle w:val="TableContents"/>
              <w:bidi w:val="0"/>
              <w:spacing w:before="120" w:after="120"/>
              <w:jc w:val="left"/>
              <w:rPr/>
            </w:pPr>
            <w:r>
              <w:rPr/>
              <w:t>Combines both results, computes coverage, and writes the finished report plus its state.</w:t>
            </w:r>
          </w:p>
        </w:tc>
      </w:tr>
    </w:tbl>
    <w:p>
      <w:pPr>
        <w:pStyle w:val="Heading2"/>
        <w:bidi w:val="0"/>
        <w:jc w:val="left"/>
        <w:rPr/>
      </w:pPr>
      <w:r>
        <w:rPr/>
        <w:t>3. Coverage</w:t>
      </w:r>
    </w:p>
    <w:tbl>
      <w:tblPr>
        <w:tblW w:w="5000" w:type="pct"/>
        <w:jc w:val="left"/>
        <w:tblInd w:w="28" w:type="dxa"/>
        <w:tblLayout w:type="fixed"/>
        <w:tblCellMar>
          <w:top w:w="28" w:type="dxa"/>
          <w:left w:w="28" w:type="dxa"/>
          <w:bottom w:w="28" w:type="dxa"/>
          <w:right w:w="28" w:type="dxa"/>
        </w:tblCellMar>
      </w:tblPr>
      <w:tblGrid>
        <w:gridCol w:w="2706"/>
        <w:gridCol w:w="8633"/>
      </w:tblGrid>
      <w:tr>
        <w:trPr>
          <w:tblHeader w:val="true"/>
        </w:trPr>
        <w:tc>
          <w:tcPr>
            <w:tcW w:w="2706" w:type="dxa"/>
            <w:tcBorders/>
            <w:vAlign w:val="center"/>
          </w:tcPr>
          <w:p>
            <w:pPr>
              <w:pStyle w:val="TableHeading"/>
              <w:suppressLineNumbers/>
              <w:shd w:fill="1F4E79" w:val="clear"/>
              <w:bidi w:val="0"/>
              <w:spacing w:before="120" w:after="120"/>
              <w:jc w:val="left"/>
              <w:rPr/>
            </w:pPr>
            <w:r>
              <w:rPr/>
              <w:t>Value</w:t>
            </w:r>
          </w:p>
        </w:tc>
        <w:tc>
          <w:tcPr>
            <w:tcW w:w="8633" w:type="dxa"/>
            <w:tcBorders/>
            <w:vAlign w:val="center"/>
          </w:tcPr>
          <w:p>
            <w:pPr>
              <w:pStyle w:val="TableHeading"/>
              <w:suppressLineNumbers/>
              <w:shd w:fill="1F4E79" w:val="clear"/>
              <w:bidi w:val="0"/>
              <w:spacing w:before="120" w:after="120"/>
              <w:jc w:val="left"/>
              <w:rPr/>
            </w:pPr>
            <w:r>
              <w:rPr/>
              <w:t>Meaning</w:t>
            </w:r>
          </w:p>
        </w:tc>
      </w:tr>
      <w:tr>
        <w:trPr/>
        <w:tc>
          <w:tcPr>
            <w:tcW w:w="2706" w:type="dxa"/>
            <w:tcBorders/>
            <w:vAlign w:val="center"/>
          </w:tcPr>
          <w:p>
            <w:pPr>
              <w:pStyle w:val="TableContents"/>
              <w:bidi w:val="0"/>
              <w:spacing w:before="120" w:after="120"/>
              <w:jc w:val="left"/>
              <w:rPr/>
            </w:pPr>
            <w:r>
              <w:rPr>
                <w:rStyle w:val="SourceText"/>
              </w:rPr>
              <w:t>TWO_CROSS_FAMILY</w:t>
            </w:r>
          </w:p>
        </w:tc>
        <w:tc>
          <w:tcPr>
            <w:tcW w:w="8633" w:type="dxa"/>
            <w:tcBorders/>
            <w:vAlign w:val="center"/>
          </w:tcPr>
          <w:p>
            <w:pPr>
              <w:pStyle w:val="TableContents"/>
              <w:bidi w:val="0"/>
              <w:spacing w:before="120" w:after="120"/>
              <w:jc w:val="left"/>
              <w:rPr/>
            </w:pPr>
            <w:r>
              <w:rPr/>
              <w:t>Both ran, families resolved, families differ. The only outcome where the report uses the word "independent".</w:t>
            </w:r>
          </w:p>
        </w:tc>
      </w:tr>
      <w:tr>
        <w:trPr/>
        <w:tc>
          <w:tcPr>
            <w:tcW w:w="2706" w:type="dxa"/>
            <w:tcBorders/>
            <w:vAlign w:val="center"/>
          </w:tcPr>
          <w:p>
            <w:pPr>
              <w:pStyle w:val="TableContents"/>
              <w:bidi w:val="0"/>
              <w:spacing w:before="120" w:after="120"/>
              <w:jc w:val="left"/>
              <w:rPr/>
            </w:pPr>
            <w:r>
              <w:rPr>
                <w:rStyle w:val="SourceText"/>
              </w:rPr>
              <w:t>TWO_SAME_FAMILY</w:t>
            </w:r>
          </w:p>
        </w:tc>
        <w:tc>
          <w:tcPr>
            <w:tcW w:w="8633" w:type="dxa"/>
            <w:tcBorders/>
            <w:vAlign w:val="center"/>
          </w:tcPr>
          <w:p>
            <w:pPr>
              <w:pStyle w:val="TableContents"/>
              <w:bidi w:val="0"/>
              <w:spacing w:before="120" w:after="120"/>
              <w:jc w:val="left"/>
              <w:rPr/>
            </w:pPr>
            <w:r>
              <w:rPr/>
              <w:t>Both ran, same family — one perspective wearing two names.</w:t>
            </w:r>
          </w:p>
        </w:tc>
      </w:tr>
      <w:tr>
        <w:trPr/>
        <w:tc>
          <w:tcPr>
            <w:tcW w:w="2706" w:type="dxa"/>
            <w:tcBorders/>
            <w:vAlign w:val="center"/>
          </w:tcPr>
          <w:p>
            <w:pPr>
              <w:pStyle w:val="TableContents"/>
              <w:bidi w:val="0"/>
              <w:spacing w:before="120" w:after="120"/>
              <w:jc w:val="left"/>
              <w:rPr/>
            </w:pPr>
            <w:r>
              <w:rPr>
                <w:rStyle w:val="SourceText"/>
              </w:rPr>
              <w:t>TWO_FAMILY_UNVERIFIED</w:t>
            </w:r>
          </w:p>
        </w:tc>
        <w:tc>
          <w:tcPr>
            <w:tcW w:w="8633" w:type="dxa"/>
            <w:tcBorders/>
            <w:vAlign w:val="center"/>
          </w:tcPr>
          <w:p>
            <w:pPr>
              <w:pStyle w:val="TableContents"/>
              <w:bidi w:val="0"/>
              <w:spacing w:before="120" w:after="120"/>
              <w:jc w:val="left"/>
              <w:rPr/>
            </w:pPr>
            <w:r>
              <w:rPr/>
              <w:t>Both ran, but a reviewer's recorded model id does not corroborate the alias beside it — the contradiction is quoted, and the family is not established.</w:t>
            </w:r>
          </w:p>
        </w:tc>
      </w:tr>
      <w:tr>
        <w:trPr/>
        <w:tc>
          <w:tcPr>
            <w:tcW w:w="2706" w:type="dxa"/>
            <w:tcBorders/>
            <w:vAlign w:val="center"/>
          </w:tcPr>
          <w:p>
            <w:pPr>
              <w:pStyle w:val="TableContents"/>
              <w:bidi w:val="0"/>
              <w:spacing w:before="120" w:after="120"/>
              <w:jc w:val="left"/>
              <w:rPr/>
            </w:pPr>
            <w:r>
              <w:rPr>
                <w:rStyle w:val="SourceText"/>
              </w:rPr>
              <w:t>TWO_FAMILY_UNKNOWN</w:t>
            </w:r>
          </w:p>
        </w:tc>
        <w:tc>
          <w:tcPr>
            <w:tcW w:w="8633" w:type="dxa"/>
            <w:tcBorders/>
            <w:vAlign w:val="center"/>
          </w:tcPr>
          <w:p>
            <w:pPr>
              <w:pStyle w:val="TableContents"/>
              <w:bidi w:val="0"/>
              <w:spacing w:before="120" w:after="120"/>
              <w:jc w:val="left"/>
              <w:rPr/>
            </w:pPr>
            <w:r>
              <w:rPr/>
              <w:t>Both ran, but a family would not resolve at all — "could not tell", not a pass.</w:t>
            </w:r>
          </w:p>
        </w:tc>
      </w:tr>
      <w:tr>
        <w:trPr/>
        <w:tc>
          <w:tcPr>
            <w:tcW w:w="2706" w:type="dxa"/>
            <w:tcBorders/>
            <w:vAlign w:val="center"/>
          </w:tcPr>
          <w:p>
            <w:pPr>
              <w:pStyle w:val="TableContents"/>
              <w:bidi w:val="0"/>
              <w:spacing w:before="120" w:after="120"/>
              <w:jc w:val="left"/>
              <w:rPr/>
            </w:pPr>
            <w:r>
              <w:rPr>
                <w:rStyle w:val="SourceText"/>
              </w:rPr>
              <w:t>ONE_REVIEW</w:t>
            </w:r>
          </w:p>
        </w:tc>
        <w:tc>
          <w:tcPr>
            <w:tcW w:w="8633" w:type="dxa"/>
            <w:tcBorders/>
            <w:vAlign w:val="center"/>
          </w:tcPr>
          <w:p>
            <w:pPr>
              <w:pStyle w:val="TableContents"/>
              <w:bidi w:val="0"/>
              <w:spacing w:before="120" w:after="120"/>
              <w:jc w:val="left"/>
              <w:rPr/>
            </w:pPr>
            <w:r>
              <w:rPr/>
              <w:t>One ran. The banner says plainly this is one review, not two, and why the other did not run.</w:t>
            </w:r>
          </w:p>
        </w:tc>
      </w:tr>
      <w:tr>
        <w:trPr/>
        <w:tc>
          <w:tcPr>
            <w:tcW w:w="2706" w:type="dxa"/>
            <w:tcBorders/>
            <w:vAlign w:val="center"/>
          </w:tcPr>
          <w:p>
            <w:pPr>
              <w:pStyle w:val="TableContents"/>
              <w:bidi w:val="0"/>
              <w:spacing w:before="120" w:after="120"/>
              <w:jc w:val="left"/>
              <w:rPr/>
            </w:pPr>
            <w:r>
              <w:rPr>
                <w:rStyle w:val="SourceText"/>
              </w:rPr>
              <w:t>NO_REVIEW</w:t>
            </w:r>
          </w:p>
        </w:tc>
        <w:tc>
          <w:tcPr>
            <w:tcW w:w="8633" w:type="dxa"/>
            <w:tcBorders/>
            <w:vAlign w:val="center"/>
          </w:tcPr>
          <w:p>
            <w:pPr>
              <w:pStyle w:val="TableContents"/>
              <w:bidi w:val="0"/>
              <w:spacing w:before="120" w:after="120"/>
              <w:jc w:val="left"/>
              <w:rPr/>
            </w:pPr>
            <w:r>
              <w:rPr/>
              <w:t>Neither ran.</w:t>
            </w:r>
          </w:p>
        </w:tc>
      </w:tr>
    </w:tbl>
    <w:p>
      <w:pPr>
        <w:pStyle w:val="BodyText"/>
        <w:bidi w:val="0"/>
        <w:jc w:val="left"/>
        <w:rPr/>
      </w:pPr>
      <w:r>
        <w:rPr>
          <w:rStyle w:val="SourceText"/>
        </w:rPr>
        <w:t>compute_coverage(claude_ran, codex_ran, ...)</w:t>
      </w:r>
      <w:r>
        <w:rPr/>
        <w:t xml:space="preserve"> (</w:t>
      </w:r>
      <w:r>
        <w:rPr>
          <w:rStyle w:val="SourceText"/>
        </w:rPr>
        <w:t>rule_of_two.py:450</w:t>
      </w:r>
      <w:r>
        <w:rPr/>
        <w:t xml:space="preserve">) derives the value; </w:t>
      </w:r>
      <w:r>
        <w:rPr>
          <w:rStyle w:val="SourceText"/>
        </w:rPr>
        <w:t>render_title</w:t>
      </w:r>
      <w:r>
        <w:rPr/>
        <w:t xml:space="preserve"> and the report banner both derive from coverage the same way, rather than one being hand-written prose that could drift from the other.</w:t>
      </w:r>
    </w:p>
    <w:p>
      <w:pPr>
        <w:pStyle w:val="Heading2"/>
        <w:bidi w:val="0"/>
        <w:jc w:val="left"/>
        <w:rPr/>
      </w:pPr>
      <w:r>
        <w:rPr/>
        <w:t>4. What Counts as a Review That Ran</w:t>
      </w:r>
    </w:p>
    <w:p>
      <w:pPr>
        <w:pStyle w:val="BodyText"/>
        <w:numPr>
          <w:ilvl w:val="0"/>
          <w:numId w:val="1"/>
        </w:numPr>
        <w:tabs>
          <w:tab w:val="clear" w:pos="1134"/>
          <w:tab w:val="left" w:pos="829" w:leader="none"/>
        </w:tabs>
        <w:bidi w:val="0"/>
        <w:spacing w:before="120" w:after="0"/>
        <w:ind w:hanging="283" w:left="829"/>
        <w:jc w:val="left"/>
        <w:rPr/>
      </w:pPr>
      <w:r>
        <w:rPr>
          <w:rStyle w:val="SourceText"/>
        </w:rPr>
        <w:t>ran</w:t>
      </w:r>
      <w:r>
        <w:rPr/>
        <w:t xml:space="preserve"> must be the literal boolean </w:t>
      </w:r>
      <w:r>
        <w:rPr>
          <w:rStyle w:val="SourceText"/>
        </w:rPr>
        <w:t>True</w:t>
      </w:r>
      <w:r>
        <w:rPr/>
        <w:t xml:space="preserve"> — not a truthy string. </w:t>
      </w:r>
      <w:r>
        <w:rPr>
          <w:rStyle w:val="SourceText"/>
        </w:rPr>
        <w:t>"false"</w:t>
      </w:r>
      <w:r>
        <w:rPr/>
        <w:t xml:space="preserve">, </w:t>
      </w:r>
      <w:r>
        <w:rPr>
          <w:rStyle w:val="SourceText"/>
        </w:rPr>
        <w:t>"true"</w:t>
      </w:r>
      <w:r>
        <w:rPr/>
        <w:t xml:space="preserve">, </w:t>
      </w:r>
      <w:r>
        <w:rPr>
          <w:rStyle w:val="SourceText"/>
        </w:rPr>
        <w:t>1</w:t>
      </w:r>
      <w:r>
        <w:rPr/>
        <w:t xml:space="preserve"> and </w:t>
      </w:r>
      <w:r>
        <w:rPr>
          <w:rStyle w:val="SourceText"/>
        </w:rPr>
        <w:t>"yes"</w:t>
      </w:r>
      <w:r>
        <w:rPr/>
        <w:t xml:space="preserve"> are all rejected as the type they are. </w:t>
      </w:r>
    </w:p>
    <w:p>
      <w:pPr>
        <w:pStyle w:val="BodyText"/>
        <w:numPr>
          <w:ilvl w:val="0"/>
          <w:numId w:val="1"/>
        </w:numPr>
        <w:tabs>
          <w:tab w:val="clear" w:pos="1134"/>
          <w:tab w:val="left" w:pos="829" w:leader="none"/>
        </w:tabs>
        <w:bidi w:val="0"/>
        <w:spacing w:before="120" w:after="0"/>
        <w:ind w:hanging="283" w:left="829"/>
        <w:jc w:val="left"/>
        <w:rPr/>
      </w:pPr>
      <w:r>
        <w:rPr/>
        <w:t xml:space="preserve">Success is stated by the caller, never inferred from output being non-empty — </w:t>
      </w:r>
      <w:r>
        <w:rPr>
          <w:rStyle w:val="SourceText"/>
        </w:rPr>
        <w:t>record-claude</w:t>
      </w:r>
      <w:r>
        <w:rPr/>
        <w:t xml:space="preserve"> requires </w:t>
      </w:r>
      <w:r>
        <w:rPr>
          <w:rStyle w:val="SourceText"/>
        </w:rPr>
        <w:t>--ran</w:t>
      </w:r>
      <w:r>
        <w:rPr/>
        <w:t xml:space="preserve"> or </w:t>
      </w:r>
      <w:r>
        <w:rPr>
          <w:rStyle w:val="SourceText"/>
        </w:rPr>
        <w:t>--failed</w:t>
      </w:r>
      <w:r>
        <w:rPr/>
        <w:t xml:space="preserve">, mutually exclusive, both required. </w:t>
      </w:r>
    </w:p>
    <w:p>
      <w:pPr>
        <w:pStyle w:val="BodyText"/>
        <w:numPr>
          <w:ilvl w:val="0"/>
          <w:numId w:val="1"/>
        </w:numPr>
        <w:tabs>
          <w:tab w:val="clear" w:pos="1134"/>
          <w:tab w:val="left" w:pos="829" w:leader="none"/>
        </w:tabs>
        <w:bidi w:val="0"/>
        <w:spacing w:before="120" w:after="0"/>
        <w:ind w:hanging="283" w:left="829"/>
        <w:jc w:val="left"/>
        <w:rPr/>
      </w:pPr>
      <w:r>
        <w:rPr/>
        <w:t xml:space="preserve">A successful run must carry review text. Codex's review is read from </w:t>
      </w:r>
      <w:r>
        <w:rPr>
          <w:rStyle w:val="SourceText"/>
        </w:rPr>
        <w:t>--output-last-message</w:t>
      </w:r>
      <w:r>
        <w:rPr/>
        <w:t xml:space="preserve">, not stdout, because stdout carries a startup banner naming the model and sandbox that an earlier version mistook for findings. </w:t>
      </w:r>
    </w:p>
    <w:p>
      <w:pPr>
        <w:pStyle w:val="BodyText"/>
        <w:numPr>
          <w:ilvl w:val="0"/>
          <w:numId w:val="1"/>
        </w:numPr>
        <w:tabs>
          <w:tab w:val="clear" w:pos="1134"/>
          <w:tab w:val="left" w:pos="829" w:leader="none"/>
        </w:tabs>
        <w:bidi w:val="0"/>
        <w:ind w:hanging="283" w:left="829"/>
        <w:jc w:val="left"/>
        <w:rPr/>
      </w:pPr>
      <w:r>
        <w:rPr/>
        <w:t xml:space="preserve">A review that ran but answers none of the rubric's three verdicts is not silently downgraded to "did not run" — it is flagged as having failed to answer the question, matched as a whole line near the top rather than a substring (a substring match let "This is unviable." satisfy a check for the word VIABLE). </w:t>
      </w:r>
    </w:p>
    <w:p>
      <w:pPr>
        <w:pStyle w:val="Heading2"/>
        <w:bidi w:val="0"/>
        <w:jc w:val="left"/>
        <w:rPr/>
      </w:pPr>
      <w:r>
        <w:rPr/>
        <w:t>5. Model Identity and Family Resolution</w:t>
      </w:r>
    </w:p>
    <w:p>
      <w:pPr>
        <w:pStyle w:val="BodyText"/>
        <w:bidi w:val="0"/>
        <w:jc w:val="left"/>
        <w:rPr/>
      </w:pPr>
      <w:r>
        <w:rPr/>
        <w:t>Two separate tables, matched differently on purpose: dispatch aliases (</w:t>
      </w:r>
      <w:r>
        <w:rPr>
          <w:rStyle w:val="SourceText"/>
        </w:rPr>
        <w:t>fable</w:t>
      </w:r>
      <w:r>
        <w:rPr/>
        <w:t xml:space="preserve">, </w:t>
      </w:r>
      <w:r>
        <w:rPr>
          <w:rStyle w:val="SourceText"/>
        </w:rPr>
        <w:t>opus</w:t>
      </w:r>
      <w:r>
        <w:rPr/>
        <w:t xml:space="preserve">, </w:t>
      </w:r>
      <w:r>
        <w:rPr>
          <w:rStyle w:val="SourceText"/>
        </w:rPr>
        <w:t>sonnet</w:t>
      </w:r>
      <w:r>
        <w:rPr/>
        <w:t xml:space="preserve">, </w:t>
      </w:r>
      <w:r>
        <w:rPr>
          <w:rStyle w:val="SourceText"/>
        </w:rPr>
        <w:t>haiku</w:t>
      </w:r>
      <w:r>
        <w:rPr/>
        <w:t xml:space="preserve">, </w:t>
      </w:r>
      <w:r>
        <w:rPr>
          <w:rStyle w:val="SourceText"/>
        </w:rPr>
        <w:t>gpt</w:t>
      </w:r>
      <w:r>
        <w:rPr/>
        <w:t xml:space="preserve">, </w:t>
      </w:r>
      <w:r>
        <w:rPr>
          <w:rStyle w:val="SourceText"/>
        </w:rPr>
        <w:t>codex</w:t>
      </w:r>
      <w:r>
        <w:rPr/>
        <w:t>) match as whole words, exactly; model ids match on a prefix that carries its own separator (</w:t>
      </w:r>
      <w:r>
        <w:rPr>
          <w:rStyle w:val="SourceText"/>
        </w:rPr>
        <w:t>o3-</w:t>
      </w:r>
      <w:r>
        <w:rPr/>
        <w:t xml:space="preserve">, never a bare </w:t>
      </w:r>
      <w:r>
        <w:rPr>
          <w:rStyle w:val="SourceText"/>
        </w:rPr>
        <w:t>o3</w:t>
      </w:r>
      <w:r>
        <w:rPr/>
        <w:t xml:space="preserve">), so a loose prefix cannot resolve </w:t>
      </w:r>
      <w:r>
        <w:rPr>
          <w:rStyle w:val="SourceText"/>
        </w:rPr>
        <w:t>sonnetting</w:t>
      </w:r>
      <w:r>
        <w:rPr/>
        <w:t xml:space="preserve"> or </w:t>
      </w:r>
      <w:r>
        <w:rPr>
          <w:rStyle w:val="SourceText"/>
        </w:rPr>
        <w:t>opus-not-a-real-model</w:t>
      </w:r>
      <w:r>
        <w:rPr/>
        <w:t xml:space="preserve"> to a family. Anything else resolves to </w:t>
      </w:r>
      <w:r>
        <w:rPr>
          <w:rStyle w:val="SourceText"/>
        </w:rPr>
        <w:t>UNKNOWN</w:t>
      </w:r>
      <w:r>
        <w:rPr/>
        <w:t>, which is a real value that survives into every line derived from it — never folded into a pass.</w:t>
      </w:r>
    </w:p>
    <w:p>
      <w:pPr>
        <w:pStyle w:val="BodyText"/>
        <w:bidi w:val="0"/>
        <w:jc w:val="left"/>
        <w:rPr/>
      </w:pPr>
      <w:r>
        <w:rPr>
          <w:rStyle w:val="SourceText"/>
        </w:rPr>
        <w:t>verify_model_id</w:t>
      </w:r>
      <w:r>
        <w:rPr/>
        <w:t xml:space="preserve"> checks the alias that was dispatched against the model id the caller separately recorded as having been requested; a mismatch is a contradiction, not silently corroborated, and still produces a full report with the disagreement named in the banner and the offending id left visible rather than dropped.</w:t>
      </w:r>
    </w:p>
    <w:p>
      <w:pPr>
        <w:pStyle w:val="Heading2"/>
        <w:bidi w:val="0"/>
        <w:jc w:val="left"/>
        <w:rPr/>
      </w:pPr>
      <w:r>
        <w:rPr/>
        <w:t>6. Invoking Codex</w:t>
      </w:r>
    </w:p>
    <w:p>
      <w:pPr>
        <w:pStyle w:val="BodyText"/>
        <w:bidi w:val="0"/>
        <w:jc w:val="left"/>
        <w:rPr/>
      </w:pPr>
      <w:r>
        <w:rPr>
          <w:rStyle w:val="SourceText"/>
        </w:rPr>
        <w:t>run_codex</w:t>
      </w:r>
      <w:r>
        <w:rPr/>
        <w:t xml:space="preserve"> redirects stdin from </w:t>
      </w:r>
      <w:r>
        <w:rPr>
          <w:rStyle w:val="SourceText"/>
        </w:rPr>
        <w:t>/dev/null</w:t>
      </w:r>
      <w:r>
        <w:rPr/>
        <w:t xml:space="preserve"> and applies an explicit timeout, mapping a </w:t>
      </w:r>
      <w:r>
        <w:rPr>
          <w:rStyle w:val="SourceText"/>
        </w:rPr>
        <w:t>TimeoutExpired</w:t>
      </w:r>
      <w:r>
        <w:rPr/>
        <w:t xml:space="preserve"> to "did not run" rather than "ran and found nothing". The default timeout is 480 seconds; </w:t>
      </w:r>
      <w:r>
        <w:rPr>
          <w:rStyle w:val="SourceText"/>
        </w:rPr>
        <w:t>CALLER_TIMEOUT_CEILING_SECONDS</w:t>
      </w:r>
      <w:r>
        <w:rPr/>
        <w:t xml:space="preserve"> (600) states the ceiling it must stay under, because a single Bash call from Claude Code is killed at 600s and a longer configured value could never fire — the caller would kill the command first and the run would be recorded as a tool failure, not as the script's own honest "did not run".</w:t>
      </w:r>
    </w:p>
    <w:p>
      <w:pPr>
        <w:pStyle w:val="BodyText"/>
        <w:bidi w:val="0"/>
        <w:jc w:val="left"/>
        <w:rPr/>
      </w:pPr>
      <w:r>
        <w:rPr/>
        <w:t xml:space="preserve">Codex runs with </w:t>
      </w:r>
      <w:r>
        <w:rPr>
          <w:rStyle w:val="SourceText"/>
        </w:rPr>
        <w:t>-s read-only</w:t>
      </w:r>
      <w:r>
        <w:rPr/>
        <w:t>, which cannot write even a temporary directory, so it cannot follow the rubric step that needs one, while the Claude reviewer has a Bash tool and can. This asymmetry is reported directly under the coverage banner (</w:t>
      </w:r>
      <w:r>
        <w:rPr>
          <w:rStyle w:val="SourceText"/>
        </w:rPr>
        <w:t>render_method_note</w:t>
      </w:r>
      <w:r>
        <w:rPr/>
        <w:t>) rather than equalised, because equalising it (a writable copy of the tree) would still leave the two methods unequal and would cost a full tree copy to buy an asymmetry that survives it anyway.</w:t>
      </w:r>
    </w:p>
    <w:p>
      <w:pPr>
        <w:pStyle w:val="Heading2"/>
        <w:bidi w:val="0"/>
        <w:jc w:val="left"/>
        <w:rPr/>
      </w:pPr>
      <w:r>
        <w:rPr/>
        <w:t>7. Configuration</w:t>
      </w:r>
    </w:p>
    <w:p>
      <w:pPr>
        <w:pStyle w:val="BodyText"/>
        <w:bidi w:val="0"/>
        <w:jc w:val="left"/>
        <w:rPr/>
      </w:pPr>
      <w:r>
        <w:rPr/>
        <w:t xml:space="preserve">Standalone: never reads crew's </w:t>
      </w:r>
      <w:r>
        <w:rPr>
          <w:rStyle w:val="SourceText"/>
        </w:rPr>
        <w:t>qa.order</w:t>
      </w:r>
      <w:r>
        <w:rPr/>
        <w:t xml:space="preserve">, </w:t>
      </w:r>
      <w:r>
        <w:rPr>
          <w:rStyle w:val="SourceText"/>
        </w:rPr>
        <w:t>author_families</w:t>
      </w:r>
      <w:r>
        <w:rPr/>
        <w:t xml:space="preserve">, or provider list. Resolution order, nearest first: </w:t>
      </w:r>
      <w:r>
        <w:rPr>
          <w:rStyle w:val="SourceText"/>
        </w:rPr>
        <w:t>.rule-of-two.json</w:t>
      </w:r>
      <w:r>
        <w:rPr/>
        <w:t xml:space="preserve"> at the repo root, then </w:t>
      </w:r>
      <w:r>
        <w:rPr>
          <w:rStyle w:val="SourceText"/>
        </w:rPr>
        <w:t>~/.claude/rule-of-two/config.json</w:t>
      </w:r>
      <w:r>
        <w:rPr/>
        <w:t xml:space="preserve">, then built-in defaults; only the keys present in a layer override the one beneath it. Valid JSON that is not an object falls back to defaults and says so in </w:t>
      </w:r>
      <w:r>
        <w:rPr>
          <w:rStyle w:val="SourceText"/>
        </w:rPr>
        <w:t>config_source</w:t>
      </w:r>
      <w:r>
        <w:rPr/>
        <w:t xml:space="preserve"> rather than raising three frames down.</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"claude": {</w:t>
      </w:r>
    </w:p>
    <w:p>
      <w:pPr>
        <w:pStyle w:val="PreformattedText"/>
        <w:bidi w:val="0"/>
        <w:jc w:val="left"/>
        <w:rPr/>
      </w:pPr>
      <w:r>
        <w:rPr>
          <w:rStyle w:val="SourceText"/>
        </w:rPr>
        <w:t xml:space="preserve">    </w:t>
      </w:r>
      <w:r>
        <w:rPr>
          <w:rStyle w:val="SourceText"/>
        </w:rPr>
        <w:t>"pin": "fable",</w:t>
      </w:r>
    </w:p>
    <w:p>
      <w:pPr>
        <w:pStyle w:val="PreformattedText"/>
        <w:bidi w:val="0"/>
        <w:jc w:val="left"/>
        <w:rPr/>
      </w:pPr>
      <w:r>
        <w:rPr>
          <w:rStyle w:val="SourceText"/>
        </w:rPr>
        <w:t xml:space="preserve">    </w:t>
      </w:r>
      <w:r>
        <w:rPr>
          <w:rStyle w:val="SourceText"/>
        </w:rPr>
        <w:t>"fallback": "opus",</w:t>
      </w:r>
    </w:p>
    <w:p>
      <w:pPr>
        <w:pStyle w:val="PreformattedText"/>
        <w:bidi w:val="0"/>
        <w:jc w:val="left"/>
        <w:rPr/>
      </w:pPr>
      <w:r>
        <w:rPr>
          <w:rStyle w:val="SourceText"/>
        </w:rPr>
        <w:t xml:space="preserve">    </w:t>
      </w:r>
      <w:r>
        <w:rPr>
          <w:rStyle w:val="SourceText"/>
        </w:rPr>
        <w:t>"pin_model_id": "claude-fable-5-1",</w:t>
      </w:r>
    </w:p>
    <w:p>
      <w:pPr>
        <w:pStyle w:val="PreformattedText"/>
        <w:bidi w:val="0"/>
        <w:jc w:val="left"/>
        <w:rPr/>
      </w:pPr>
      <w:r>
        <w:rPr>
          <w:rStyle w:val="SourceText"/>
        </w:rPr>
        <w:t xml:space="preserve">    </w:t>
      </w:r>
      <w:r>
        <w:rPr>
          <w:rStyle w:val="SourceText"/>
        </w:rPr>
        <w:t>"fallback_model_id": "claude-opus-5"</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"codex": { "pin": "gpt-6-astra", "timeout_seconds": 480 }</w:t>
      </w:r>
    </w:p>
    <w:p>
      <w:pPr>
        <w:pStyle w:val="PreformattedText"/>
        <w:bidi w:val="0"/>
        <w:spacing w:before="1134" w:after="283"/>
        <w:jc w:val="left"/>
        <w:rPr/>
      </w:pPr>
      <w:r>
        <w:rPr>
          <w:rStyle w:val="SourceText"/>
        </w:rPr>
        <w:t>}</w:t>
      </w:r>
    </w:p>
    <w:p>
      <w:pPr>
        <w:pStyle w:val="BodyText"/>
        <w:bidi w:val="0"/>
        <w:jc w:val="left"/>
        <w:rPr/>
      </w:pPr>
      <w:r>
        <w:rPr>
          <w:rStyle w:val="SourceText"/>
        </w:rPr>
        <w:t>pin</w:t>
      </w:r>
      <w:r>
        <w:rPr/>
        <w:t>/</w:t>
      </w:r>
      <w:r>
        <w:rPr>
          <w:rStyle w:val="SourceText"/>
        </w:rPr>
        <w:t>fallback</w:t>
      </w:r>
      <w:r>
        <w:rPr/>
        <w:t xml:space="preserve"> are dispatch aliases; </w:t>
      </w:r>
      <w:r>
        <w:rPr>
          <w:rStyle w:val="SourceText"/>
        </w:rPr>
        <w:t>pin_model_id</w:t>
      </w:r>
      <w:r>
        <w:rPr/>
        <w:t>/</w:t>
      </w:r>
      <w:r>
        <w:rPr>
          <w:rStyle w:val="SourceText"/>
        </w:rPr>
        <w:t>fallback_model_id</w:t>
      </w:r>
      <w:r>
        <w:rPr/>
        <w:t xml:space="preserve"> are the full ids a CLI </w:t>
      </w:r>
      <w:r>
        <w:rPr>
          <w:rStyle w:val="SourceText"/>
        </w:rPr>
        <w:t>--model</w:t>
      </w:r>
      <w:r>
        <w:rPr/>
        <w:t xml:space="preserve"> flag takes. The fallback is driven by </w:t>
      </w:r>
      <w:r>
        <w:rPr>
          <w:rStyle w:val="SourceText"/>
        </w:rPr>
        <w:t>/rule-of-two:review</w:t>
      </w:r>
      <w:r>
        <w:rPr/>
        <w:t xml:space="preserve"> step 3, which retries on </w:t>
      </w:r>
      <w:r>
        <w:rPr>
          <w:rStyle w:val="SourceText"/>
        </w:rPr>
        <w:t>dispatch_order_claude[1]</w:t>
      </w:r>
      <w:r>
        <w:rPr/>
        <w:t xml:space="preserve"> only when the pinned model was unavailable — never because a review came back thin, which would quietly swap the model the report names without saying so.</w:t>
      </w:r>
    </w:p>
    <w:p>
      <w:pPr>
        <w:pStyle w:val="Heading2"/>
        <w:bidi w:val="0"/>
        <w:jc w:val="left"/>
        <w:rPr/>
      </w:pPr>
      <w:r>
        <w:rPr/>
        <w:t>8. Running from a Checkout Versus an Install</w:t>
      </w:r>
    </w:p>
    <w:p>
      <w:pPr>
        <w:pStyle w:val="BodyText"/>
        <w:bidi w:val="0"/>
        <w:jc w:val="left"/>
        <w:rPr/>
      </w:pPr>
      <w:r>
        <w:rPr>
          <w:rStyle w:val="SourceText"/>
        </w:rPr>
        <w:t>${CLAUDE_PLUGIN_ROOT}</w:t>
      </w:r>
      <w:r>
        <w:rPr/>
        <w:t xml:space="preserve"> is set only when the plugin is installed. Both command files default it and, when empty, walk up from </w:t>
      </w:r>
      <w:r>
        <w:rPr>
          <w:rStyle w:val="SourceText"/>
        </w:rPr>
        <w:t>$PWD</w:t>
      </w:r>
      <w:r>
        <w:rPr/>
        <w:t xml:space="preserve"> looking for </w:t>
      </w:r>
      <w:r>
        <w:rPr>
          <w:rStyle w:val="SourceText"/>
        </w:rPr>
        <w:t>plugin/rule-of-two/scripts/rule_of_two.py</w:t>
      </w:r>
      <w:r>
        <w:rPr/>
        <w:t xml:space="preserve"> or a directory that is the plugin itself, failing loudly with "cannot find rule-of-two" if neither resolves. From a plain checkout, </w:t>
      </w:r>
      <w:r>
        <w:rPr>
          <w:rStyle w:val="SourceText"/>
        </w:rPr>
        <w:t>config</w:t>
      </w:r>
      <w:r>
        <w:rPr/>
        <w:t xml:space="preserve">, </w:t>
      </w:r>
      <w:r>
        <w:rPr>
          <w:rStyle w:val="SourceText"/>
        </w:rPr>
        <w:t>build-prompt</w:t>
      </w:r>
      <w:r>
        <w:rPr/>
        <w:t xml:space="preserve">, </w:t>
      </w:r>
      <w:r>
        <w:rPr>
          <w:rStyle w:val="SourceText"/>
        </w:rPr>
        <w:t>codex</w:t>
      </w:r>
      <w:r>
        <w:rPr/>
        <w:t xml:space="preserve">, </w:t>
      </w:r>
      <w:r>
        <w:rPr>
          <w:rStyle w:val="SourceText"/>
        </w:rPr>
        <w:t>record-claude</w:t>
      </w:r>
      <w:r>
        <w:rPr/>
        <w:t xml:space="preserve">, </w:t>
      </w:r>
      <w:r>
        <w:rPr>
          <w:rStyle w:val="SourceText"/>
        </w:rPr>
        <w:t>assemble</w:t>
      </w:r>
      <w:r>
        <w:rPr/>
        <w:t xml:space="preserve"> and </w:t>
      </w:r>
      <w:r>
        <w:rPr>
          <w:rStyle w:val="SourceText"/>
        </w:rPr>
        <w:t>render</w:t>
      </w:r>
      <w:r>
        <w:rPr/>
        <w:t xml:space="preserve"> all work; the Claude half does not, because the subagent type </w:t>
      </w:r>
      <w:r>
        <w:rPr>
          <w:rStyle w:val="SourceText"/>
        </w:rPr>
        <w:t>rule-of-two:reviewer-claude</w:t>
      </w:r>
      <w:r>
        <w:rPr/>
        <w:t xml:space="preserve"> is registered by the plugin and does not exist outside an install — that failure is recorded with </w:t>
      </w:r>
      <w:r>
        <w:rPr>
          <w:rStyle w:val="SourceText"/>
        </w:rPr>
        <w:t>--failed</w:t>
      </w:r>
      <w:r>
        <w:rPr/>
        <w:t xml:space="preserve"> and the report states it as a one-reviewer outcome, the same as any other missing reviewer.</w:t>
      </w:r>
    </w:p>
    <w:p>
      <w:pPr>
        <w:pStyle w:val="Heading2"/>
        <w:bidi w:val="0"/>
        <w:jc w:val="left"/>
        <w:rPr/>
      </w:pPr>
      <w:r>
        <w:rPr/>
        <w:t>9. The Self-Review Record</w:t>
      </w:r>
    </w:p>
    <w:p>
      <w:pPr>
        <w:pStyle w:val="BodyText"/>
        <w:bidi w:val="0"/>
        <w:jc w:val="left"/>
        <w:rPr/>
      </w:pPr>
      <w:r>
        <w:rPr/>
        <w:t xml:space="preserve">The first artifact this plugin reviewed was itself, three times, before shipping. Round one: the two reviewers disagreed on the verdict outright and each found blockers the other missed. Round two — reviewing the fix as hard as the first defect — found that a fix applied to one side of a symmetric pair (the loose-prefix match, and a hardened </w:t>
      </w:r>
      <w:r>
        <w:rPr>
          <w:rStyle w:val="SourceText"/>
        </w:rPr>
        <w:t>ran</w:t>
      </w:r>
      <w:r>
        <w:rPr/>
        <w:t xml:space="preserve"> check) had not been applied to its neighbour. Round three found a fix that had made the verdict-matching check </w:t>
      </w:r>
      <w:r>
        <w:rPr>
          <w:i/>
        </w:rPr>
        <w:t>worse</w:t>
      </w:r>
      <w:r>
        <w:rPr/>
        <w:t xml:space="preserve"> — a bulleted list of options now satisfied a check meant to catch "declined to answer" — and a degraded-input fix installed in the wrong function, one caller over from where it was needed. By round three both reviewers converged on the same verdict, which the README treats as the practical argument for the whole design.</w:t>
      </w:r>
    </w:p>
    <w:p>
      <w:pPr>
        <w:pStyle w:val="Heading2"/>
        <w:bidi w:val="0"/>
        <w:jc w:val="left"/>
        <w:rPr/>
      </w:pPr>
      <w:r>
        <w:rPr/>
        <w:t>10. What Is Not Established</w:t>
      </w:r>
    </w:p>
    <w:p>
      <w:pPr>
        <w:pStyle w:val="BodyText"/>
        <w:numPr>
          <w:ilvl w:val="0"/>
          <w:numId w:val="2"/>
        </w:numPr>
        <w:tabs>
          <w:tab w:val="clear" w:pos="1134"/>
          <w:tab w:val="left" w:pos="829" w:leader="none"/>
        </w:tabs>
        <w:bidi w:val="0"/>
        <w:spacing w:before="120" w:after="0"/>
        <w:ind w:hanging="283" w:left="829"/>
        <w:jc w:val="left"/>
        <w:rPr/>
      </w:pPr>
      <w:r>
        <w:rPr>
          <w:b/>
        </w:rPr>
        <w:t>Which model actually served the request.</w:t>
      </w:r>
      <w:r>
        <w:rPr/>
        <w:t xml:space="preserve"> The recorded model is what was configured and asked for, not what a provider is independently attested to have run. </w:t>
      </w:r>
    </w:p>
    <w:p>
      <w:pPr>
        <w:pStyle w:val="BodyText"/>
        <w:numPr>
          <w:ilvl w:val="0"/>
          <w:numId w:val="2"/>
        </w:numPr>
        <w:tabs>
          <w:tab w:val="clear" w:pos="1134"/>
          <w:tab w:val="left" w:pos="829" w:leader="none"/>
        </w:tabs>
        <w:bidi w:val="0"/>
        <w:spacing w:before="120" w:after="0"/>
        <w:ind w:hanging="283" w:left="829"/>
        <w:jc w:val="left"/>
        <w:rPr/>
      </w:pPr>
      <w:r>
        <w:rPr>
          <w:b/>
        </w:rPr>
        <w:t>Whether Codex will actually work.</w:t>
      </w:r>
      <w:r>
        <w:rPr/>
        <w:t xml:space="preserve"> </w:t>
      </w:r>
      <w:r>
        <w:rPr>
          <w:rStyle w:val="SourceText"/>
        </w:rPr>
        <w:t>codex_found</w:t>
      </w:r>
      <w:r>
        <w:rPr/>
        <w:t xml:space="preserve"> is </w:t>
      </w:r>
      <w:r>
        <w:rPr>
          <w:rStyle w:val="SourceText"/>
        </w:rPr>
        <w:t>shutil.which</w:t>
      </w:r>
      <w:r>
        <w:rPr/>
        <w:t xml:space="preserve"> and nothing else; authentication and model availability fail at dispatch, not at discovery. </w:t>
      </w:r>
    </w:p>
    <w:p>
      <w:pPr>
        <w:pStyle w:val="BodyText"/>
        <w:numPr>
          <w:ilvl w:val="0"/>
          <w:numId w:val="2"/>
        </w:numPr>
        <w:tabs>
          <w:tab w:val="clear" w:pos="1134"/>
          <w:tab w:val="left" w:pos="829" w:leader="none"/>
        </w:tabs>
        <w:bidi w:val="0"/>
        <w:ind w:hanging="283" w:left="829"/>
        <w:jc w:val="left"/>
        <w:rPr/>
      </w:pPr>
      <w:r>
        <w:rPr>
          <w:b/>
        </w:rPr>
        <w:t>The fallback retry path.</w:t>
      </w:r>
      <w:r>
        <w:rPr/>
        <w:t xml:space="preserve"> It is prose instruction to a model (</w:t>
      </w:r>
      <w:r>
        <w:rPr>
          <w:rStyle w:val="SourceText"/>
        </w:rPr>
        <w:t>/rule-of-two:review</w:t>
      </w:r>
      <w:r>
        <w:rPr/>
        <w:t xml:space="preserve"> step 3), with no code path and therefore no test — a Fable dispatch could not be made to fail on demand to observe it. </w:t>
      </w:r>
    </w:p>
    <w:p>
      <w:pPr>
        <w:pStyle w:val="BodyTextmuted"/>
        <w:bidi w:val="0"/>
        <w:spacing w:before="120" w:after="120"/>
        <w:jc w:val="left"/>
        <w:rPr/>
      </w:pPr>
      <w:r>
        <w:rPr/>
        <w:t xml:space="preserve">Provenance: read from </w:t>
      </w:r>
      <w:r>
        <w:rPr>
          <w:rStyle w:val="SourceText"/>
        </w:rPr>
        <w:t>plugin/rule-of-two/README.md</w:t>
      </w:r>
      <w:r>
        <w:rPr/>
        <w:t xml:space="preserve">, </w:t>
      </w:r>
      <w:r>
        <w:rPr>
          <w:rStyle w:val="SourceText"/>
        </w:rPr>
        <w:t>scripts/rule_of_two.py</w:t>
      </w:r>
      <w:r>
        <w:rPr/>
        <w:t xml:space="preserve">, </w:t>
      </w:r>
      <w:r>
        <w:rPr>
          <w:rStyle w:val="SourceText"/>
        </w:rPr>
        <w:t>commands/review.md</w:t>
      </w:r>
      <w:r>
        <w:rPr/>
        <w:t xml:space="preserve"> and </w:t>
      </w:r>
      <w:r>
        <w:rPr>
          <w:rStyle w:val="SourceText"/>
        </w:rPr>
        <w:t>commands/config.md</w:t>
      </w:r>
      <w:r>
        <w:rPr/>
        <w:t xml:space="preserve"> at commit 541b2b70 (rule-of-two 0.1.3, confirmed in both </w:t>
      </w:r>
      <w:r>
        <w:rPr>
          <w:rStyle w:val="SourceText"/>
        </w:rPr>
        <w:t>.claude-plugin/plugin.json</w:t>
      </w:r>
      <w:r>
        <w:rPr/>
        <w:t xml:space="preserve"> and </w:t>
      </w:r>
      <w:r>
        <w:rPr>
          <w:rStyle w:val="SourceText"/>
        </w:rPr>
        <w:t>CHANGELOG.md</w:t>
      </w:r>
      <w:r>
        <w:rPr/>
        <w:t>). Not verified: a live two-reviewer run in this session; exact line numbers for functions cited by name only (</w:t>
      </w:r>
      <w:r>
        <w:rPr>
          <w:rStyle w:val="SourceText"/>
        </w:rPr>
        <w:t>compute_coverage</w:t>
      </w:r>
      <w:r>
        <w:rPr/>
        <w:t xml:space="preserve">, </w:t>
      </w:r>
      <w:r>
        <w:rPr>
          <w:rStyle w:val="SourceText"/>
        </w:rPr>
        <w:t>run_codex</w:t>
      </w:r>
      <w:r>
        <w:rPr/>
        <w:t xml:space="preserve">, </w:t>
      </w:r>
      <w:r>
        <w:rPr>
          <w:rStyle w:val="SourceText"/>
        </w:rPr>
        <w:t>verify_model_id</w:t>
      </w:r>
      <w:r>
        <w:rPr/>
        <w:t>) beyond the one explicitly anchored above.</w:t>
      </w:r>
    </w:p>
    <w:sectPr>
      <w:type w:val="nextPage"/>
      <w:pgSz w:w="12240" w:h="15840"/>
      <w:pgMar w:left="1440" w:right="1440" w:gutter="0" w:header="720" w:top="1440" w:footer="72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Segoe UI;Calibri;Arial;sans-serif" w:hAnsi="Segoe UI;Calibri;Arial;sans-serif" w:eastAsia="Segoe UI;Calibri;Arial;sans-serif" w:cs="Segoe UI;Calibri;Arial;sans-serif"/>
      <w:color w:val="1B1B1F"/>
      <w:sz w:val="22"/>
      <w:szCs w:val="22"/>
      <w:lang w:val="en-US" w:eastAsia="zh-CN" w:bidi="hi-IN"/>
    </w:rPr>
  </w:style>
  <w:style w:type="paragraph" w:styleId="Heading1">
    <w:name w:val="heading 1"/>
    <w:basedOn w:val="Heading"/>
    <w:next w:val="BodyText"/>
    <w:qFormat/>
    <w:pPr>
      <w:spacing w:before="240" w:after="80"/>
    </w:pPr>
    <w:rPr>
      <w:b/>
      <w:bCs/>
      <w:color w:val="1F4E79"/>
      <w:sz w:val="44"/>
      <w:szCs w:val="44"/>
    </w:rPr>
  </w:style>
  <w:style w:type="paragraph" w:styleId="Heading2">
    <w:name w:val="heading 2"/>
    <w:basedOn w:val="Heading"/>
    <w:next w:val="BodyText"/>
    <w:qFormat/>
    <w:pPr>
      <w:pBdr>
        <w:bottom w:val="single" w:sz="2" w:space="3" w:color="DCDEE5"/>
      </w:pBdr>
      <w:spacing w:before="480" w:after="160"/>
      <w:ind w:left="480" w:right="480"/>
      <w:outlineLvl w:val="1"/>
    </w:pPr>
    <w:rPr>
      <w:rFonts w:ascii="Liberation Serif" w:hAnsi="Liberation Serif" w:eastAsia="Noto Serif CJK SC" w:cs="Noto Sans Devanagari"/>
      <w:b/>
      <w:bCs/>
      <w:color w:val="1F4E79"/>
      <w:sz w:val="32"/>
      <w:szCs w:val="32"/>
    </w:rPr>
  </w:style>
  <w:style w:type="paragraph" w:styleId="Heading3">
    <w:name w:val="heading 3"/>
    <w:basedOn w:val="Heading"/>
    <w:next w:val="BodyText"/>
    <w:qFormat/>
    <w:pPr>
      <w:spacing w:before="320" w:after="120"/>
      <w:ind w:left="320" w:right="320"/>
      <w:outlineLvl w:val="2"/>
    </w:pPr>
    <w:rPr>
      <w:rFonts w:ascii="Liberation Serif" w:hAnsi="Liberation Serif" w:eastAsia="Noto Serif CJK SC" w:cs="Noto Sans Devanagari"/>
      <w:b/>
      <w:bCs/>
      <w:color w:val="1F4E79"/>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muted">
    <w:name w:val="Body Text.muted"/>
    <w:basedOn w:val="BodyText"/>
    <w:qFormat/>
    <w:pPr/>
    <w:rPr>
      <w:color w:val="5C5F6B"/>
      <w:sz w:val="19"/>
      <w:szCs w:val="19"/>
    </w:rPr>
  </w:style>
  <w:style w:type="paragraph" w:styleId="TableHeading">
    <w:name w:val="Table Heading"/>
    <w:basedOn w:val="TableContents"/>
    <w:qFormat/>
    <w:pPr>
      <w:suppressLineNumbers/>
      <w:shd w:fill="1F4E79" w:val="clear"/>
      <w:jc w:val="left"/>
    </w:pPr>
    <w:rPr>
      <w:b/>
      <w:bCs/>
      <w:color w:val="FFFFFF"/>
    </w:rPr>
  </w:style>
  <w:style w:type="paragraph" w:styleId="PreformattedText">
    <w:name w:val="Preformatted Text"/>
    <w:basedOn w:val="Normal"/>
    <w:qFormat/>
    <w:pPr>
      <w:spacing w:before="1134"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The Rule-of-Two Plugin: Technical Reference</dc:title>
</cp:coreProperties>
</file>

<file path=docProps/custom.xml><?xml version="1.0" encoding="utf-8"?>
<Properties xmlns="http://schemas.openxmlformats.org/officeDocument/2006/custom-properties" xmlns:vt="http://schemas.openxmlformats.org/officeDocument/2006/docPropsVTypes"/>
</file>