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2E3440"/>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spacing w:before="1134" w:after="283"/>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spacing w:before="1134" w:after="283"/>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spacing w:before="1134" w:after="283"/>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spacing w:before="1134" w:after="283"/>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spacing w:before="1134" w:after="283"/>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11339" w:type="dxa"/>
        <w:jc w:val="left"/>
        <w:tblInd w:w="28" w:type="dxa"/>
        <w:tblLayout w:type="fixed"/>
        <w:tblCellMar>
          <w:top w:w="28" w:type="dxa"/>
          <w:left w:w="28" w:type="dxa"/>
          <w:bottom w:w="28" w:type="dxa"/>
          <w:right w:w="28" w:type="dxa"/>
        </w:tblCellMar>
      </w:tblPr>
      <w:tblGrid>
        <w:gridCol w:w="2696"/>
        <w:gridCol w:w="8643"/>
      </w:tblGrid>
      <w:tr>
        <w:trPr>
          <w:tblHeader w:val="true"/>
        </w:trPr>
        <w:tc>
          <w:tcPr>
            <w:tcW w:w="2696" w:type="dxa"/>
            <w:tcBorders/>
            <w:vAlign w:val="center"/>
          </w:tcPr>
          <w:p>
            <w:pPr>
              <w:pStyle w:val="TableHeading"/>
              <w:suppressLineNumbers/>
              <w:shd w:fill="434C5E" w:val="clear"/>
              <w:bidi w:val="0"/>
              <w:spacing w:before="120" w:after="120"/>
              <w:jc w:val="left"/>
              <w:rPr/>
            </w:pPr>
            <w:r>
              <w:rPr/>
              <w:t>When</w:t>
            </w:r>
          </w:p>
        </w:tc>
        <w:tc>
          <w:tcPr>
            <w:tcW w:w="8643" w:type="dxa"/>
            <w:tcBorders/>
            <w:vAlign w:val="center"/>
          </w:tcPr>
          <w:p>
            <w:pPr>
              <w:pStyle w:val="TableHeading"/>
              <w:suppressLineNumbers/>
              <w:shd w:fill="434C5E" w:val="clear"/>
              <w:bidi w:val="0"/>
              <w:spacing w:before="120" w:after="120"/>
              <w:jc w:val="left"/>
              <w:rPr/>
            </w:pPr>
            <w:r>
              <w:rPr/>
              <w:t>Do</w:t>
            </w:r>
          </w:p>
        </w:tc>
      </w:tr>
      <w:tr>
        <w:trPr/>
        <w:tc>
          <w:tcPr>
            <w:tcW w:w="2696" w:type="dxa"/>
            <w:tcBorders/>
            <w:vAlign w:val="center"/>
          </w:tcPr>
          <w:p>
            <w:pPr>
              <w:pStyle w:val="TableContents"/>
              <w:shd w:fill="2E3440" w:val="clear"/>
              <w:bidi w:val="0"/>
              <w:spacing w:before="120" w:after="120"/>
              <w:jc w:val="left"/>
              <w:rPr/>
            </w:pPr>
            <w:r>
              <w:rPr/>
              <w:t>Daily, automatically</w:t>
            </w:r>
          </w:p>
        </w:tc>
        <w:tc>
          <w:tcPr>
            <w:tcW w:w="8643"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2696" w:type="dxa"/>
            <w:tcBorders/>
            <w:vAlign w:val="center"/>
          </w:tcPr>
          <w:p>
            <w:pPr>
              <w:pStyle w:val="TableContents"/>
              <w:shd w:fill="2E3440" w:val="clear"/>
              <w:bidi w:val="0"/>
              <w:spacing w:before="120" w:after="120"/>
              <w:jc w:val="left"/>
              <w:rPr/>
            </w:pPr>
            <w:r>
              <w:rPr/>
              <w:t>After a plugin update</w:t>
            </w:r>
          </w:p>
        </w:tc>
        <w:tc>
          <w:tcPr>
            <w:tcW w:w="8643"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2696" w:type="dxa"/>
            <w:tcBorders/>
            <w:vAlign w:val="center"/>
          </w:tcPr>
          <w:p>
            <w:pPr>
              <w:pStyle w:val="TableContents"/>
              <w:shd w:fill="2E3440" w:val="clear"/>
              <w:bidi w:val="0"/>
              <w:spacing w:before="120" w:after="120"/>
              <w:jc w:val="left"/>
              <w:rPr/>
            </w:pPr>
            <w:r>
              <w:rPr/>
              <w:t>When a vault moves or you add one</w:t>
            </w:r>
          </w:p>
        </w:tc>
        <w:tc>
          <w:tcPr>
            <w:tcW w:w="8643"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2696" w:type="dxa"/>
            <w:tcBorders/>
            <w:vAlign w:val="center"/>
          </w:tcPr>
          <w:p>
            <w:pPr>
              <w:pStyle w:val="TableContents"/>
              <w:shd w:fill="2E3440" w:val="clear"/>
              <w:bidi w:val="0"/>
              <w:spacing w:before="120" w:after="120"/>
              <w:jc w:val="left"/>
              <w:rPr/>
            </w:pPr>
            <w:r>
              <w:rPr/>
              <w:t>When recall seems blind</w:t>
            </w:r>
          </w:p>
        </w:tc>
        <w:tc>
          <w:tcPr>
            <w:tcW w:w="8643"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2696" w:type="dxa"/>
            <w:tcBorders/>
            <w:vAlign w:val="center"/>
          </w:tcPr>
          <w:p>
            <w:pPr>
              <w:pStyle w:val="TableContents"/>
              <w:shd w:fill="2E3440" w:val="clear"/>
              <w:bidi w:val="0"/>
              <w:spacing w:before="120" w:after="120"/>
              <w:jc w:val="left"/>
              <w:rPr/>
            </w:pPr>
            <w:r>
              <w:rPr/>
              <w:t>When the bridge misbehaves</w:t>
            </w:r>
          </w:p>
        </w:tc>
        <w:tc>
          <w:tcPr>
            <w:tcW w:w="8643"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2696" w:type="dxa"/>
            <w:tcBorders/>
            <w:vAlign w:val="center"/>
          </w:tcPr>
          <w:p>
            <w:pPr>
              <w:pStyle w:val="TableContents"/>
              <w:shd w:fill="2E3440" w:val="clear"/>
              <w:bidi w:val="0"/>
              <w:spacing w:before="120" w:after="120"/>
              <w:jc w:val="left"/>
              <w:rPr/>
            </w:pPr>
            <w:r>
              <w:rPr/>
              <w:t>When the code changed a lot</w:t>
            </w:r>
          </w:p>
        </w:tc>
        <w:tc>
          <w:tcPr>
            <w:tcW w:w="8643"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spacing w:before="1134" w:after="283"/>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spacing w:before="1134" w:after="283"/>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spacing w:before="1134" w:after="283"/>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spacing w:before="1134" w:after="283"/>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spacing w:before="1134" w:after="283"/>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spacing w:before="1134" w:after="283"/>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spacing w:before="1134" w:after="283"/>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spacing w:before="1134" w:after="283"/>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spacing w:before="1134" w:after="283"/>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spacing w:before="1134" w:after="283"/>
        <w:jc w:val="left"/>
        <w:rPr/>
      </w:pPr>
      <w:r>
        <w:rPr>
          <w:rStyle w:val="SourceText"/>
        </w:rPr>
        <w:t>$VO schedule --os systemd --designate         # Linux desktop with systemd --user</w:t>
      </w:r>
    </w:p>
    <w:p>
      <w:pPr>
        <w:pStyle w:val="PreformattedText"/>
        <w:bidi w:val="0"/>
        <w:spacing w:before="1134" w:after="283"/>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confirming-recall-reaches-your-sessions"/>
      <w:bookmarkEnd w:id="10"/>
      <w:r>
        <w:rPr/>
        <w:t>Confirming Recall Reaches Your Sessions</w:t>
      </w:r>
    </w:p>
    <w:p>
      <w:pPr>
        <w:pStyle w:val="BodyText"/>
        <w:bidi w:val="0"/>
        <w:jc w:val="left"/>
        <w:rPr/>
      </w:pPr>
      <w:r>
        <w:rPr/>
        <w:t>(written by the context-hook ticket)</w:t>
      </w:r>
    </w:p>
    <w:p>
      <w:pPr>
        <w:pStyle w:val="HorizontalLine"/>
        <w:bidi w:val="0"/>
        <w:jc w:val="left"/>
        <w:rPr/>
      </w:pPr>
      <w:r>
        <w:rPr/>
      </w:r>
    </w:p>
    <w:p>
      <w:pPr>
        <w:pStyle w:val="Heading2"/>
        <w:bidi w:val="0"/>
        <w:ind w:hanging="0" w:left="0" w:right="0"/>
        <w:jc w:val="left"/>
        <w:rPr/>
      </w:pPr>
      <w:bookmarkStart w:id="11" w:name="confirming-recall-reaches-your-sessions_"/>
      <w:bookmarkEnd w:id="11"/>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Heading3"/>
        <w:bidi w:val="0"/>
        <w:ind w:hanging="0" w:left="0" w:right="0"/>
        <w:jc w:val="left"/>
        <w:rPr/>
      </w:pPr>
      <w:bookmarkStart w:id="12" w:name="which-channel-reaches-which-agent"/>
      <w:bookmarkEnd w:id="12"/>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7556" w:type="dxa"/>
        <w:jc w:val="left"/>
        <w:tblInd w:w="28" w:type="dxa"/>
        <w:tblLayout w:type="fixed"/>
        <w:tblCellMar>
          <w:top w:w="28" w:type="dxa"/>
          <w:left w:w="28" w:type="dxa"/>
          <w:bottom w:w="28" w:type="dxa"/>
          <w:right w:w="28" w:type="dxa"/>
        </w:tblCellMar>
      </w:tblPr>
      <w:tblGrid>
        <w:gridCol w:w="2119"/>
        <w:gridCol w:w="2932"/>
        <w:gridCol w:w="2505"/>
      </w:tblGrid>
      <w:tr>
        <w:trPr>
          <w:tblHeader w:val="true"/>
        </w:trPr>
        <w:tc>
          <w:tcPr>
            <w:tcW w:w="2119" w:type="dxa"/>
            <w:tcBorders/>
            <w:vAlign w:val="center"/>
          </w:tcPr>
          <w:p>
            <w:pPr>
              <w:pStyle w:val="TableHeading"/>
              <w:suppressLineNumbers/>
              <w:shd w:fill="434C5E" w:val="clear"/>
              <w:bidi w:val="0"/>
              <w:spacing w:before="120" w:after="120"/>
              <w:jc w:val="left"/>
              <w:rPr/>
            </w:pPr>
            <w:r>
              <w:rPr/>
              <w:t>Hook event</w:t>
            </w:r>
          </w:p>
        </w:tc>
        <w:tc>
          <w:tcPr>
            <w:tcW w:w="2932" w:type="dxa"/>
            <w:tcBorders/>
            <w:vAlign w:val="center"/>
          </w:tcPr>
          <w:p>
            <w:pPr>
              <w:pStyle w:val="TableHeading"/>
              <w:suppressLineNumbers/>
              <w:shd w:fill="434C5E" w:val="clear"/>
              <w:bidi w:val="0"/>
              <w:spacing w:before="120" w:after="120"/>
              <w:jc w:val="left"/>
              <w:rPr/>
            </w:pPr>
            <w:r>
              <w:rPr/>
              <w:t>Reaches the main agent</w:t>
            </w:r>
          </w:p>
        </w:tc>
        <w:tc>
          <w:tcPr>
            <w:tcW w:w="2505" w:type="dxa"/>
            <w:tcBorders/>
            <w:vAlign w:val="center"/>
          </w:tcPr>
          <w:p>
            <w:pPr>
              <w:pStyle w:val="TableHeading"/>
              <w:suppressLineNumbers/>
              <w:shd w:fill="434C5E" w:val="clear"/>
              <w:bidi w:val="0"/>
              <w:spacing w:before="120" w:after="120"/>
              <w:jc w:val="left"/>
              <w:rPr/>
            </w:pPr>
            <w:r>
              <w:rPr/>
              <w:t>Reaches a subagent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SubagentStart</w:t>
            </w:r>
          </w:p>
        </w:tc>
        <w:tc>
          <w:tcPr>
            <w:tcW w:w="2932" w:type="dxa"/>
            <w:tcBorders/>
            <w:vAlign w:val="center"/>
          </w:tcPr>
          <w:p>
            <w:pPr>
              <w:pStyle w:val="TableContents"/>
              <w:shd w:fill="2E3440" w:val="clear"/>
              <w:bidi w:val="0"/>
              <w:spacing w:before="120" w:after="120"/>
              <w:jc w:val="left"/>
              <w:rPr/>
            </w:pPr>
            <w:r>
              <w:rPr/>
              <w:t>n/a</w:t>
            </w:r>
          </w:p>
        </w:tc>
        <w:tc>
          <w:tcPr>
            <w:tcW w:w="2505"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spacing w:before="1134" w:after="283"/>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3" w:name="where-recall-comes-from"/>
      <w:bookmarkEnd w:id="13"/>
      <w:r>
        <w:rPr/>
        <w:t>Where Recall Comes From</w:t>
      </w:r>
    </w:p>
    <w:p>
      <w:pPr>
        <w:pStyle w:val="BodyText"/>
        <w:numPr>
          <w:ilvl w:val="0"/>
          <w:numId w:val="3"/>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3"/>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3"/>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3"/>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4" w:name="the-seeded-note-proof"/>
      <w:bookmarkEnd w:id="14"/>
      <w:r>
        <w:rPr/>
        <w:t>The Seeded-Note Proof</w:t>
      </w:r>
    </w:p>
    <w:p>
      <w:pPr>
        <w:pStyle w:val="BodyText"/>
        <w:numPr>
          <w:ilvl w:val="0"/>
          <w:numId w:val="4"/>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4"/>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4"/>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4"/>
        </w:numPr>
        <w:tabs>
          <w:tab w:val="clear" w:pos="1134"/>
          <w:tab w:val="left" w:pos="829" w:leader="none"/>
        </w:tabs>
        <w:bidi w:val="0"/>
        <w:ind w:hanging="283" w:left="829"/>
        <w:jc w:val="left"/>
        <w:rPr/>
      </w:pPr>
      <w:r>
        <w:rPr/>
        <w:t xml:space="preserve">Start a fresh session and ask for a subagent that may not use tools: </w:t>
      </w:r>
    </w:p>
    <w:p>
      <w:pPr>
        <w:pStyle w:val="BodyText"/>
        <w:bidi w:val="0"/>
        <w:jc w:val="left"/>
        <w:rPr/>
      </w:pPr>
      <w:r>
        <w:rPr>
          <w:rStyle w:val="SourceText"/>
        </w:rPr>
        <w:t>bash claude -p --model haiku --output-format stream-json --verbose --include-hook-events \ "Use the Task tool once with exactly this prompt: 'Without using any tools, answer only from \ your context: what is the Tidewater ledger reconciliation cutoff, and who is the approving \ steward? If it is not in your context, answer UNKNOWN. Name the source label.' Then reply with \ 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spacing w:before="1134" w:after="283"/>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5" w:name="measured-against-the-real-vault_opspy-re"/>
      <w:bookmarkEnd w:id="15"/>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spacing w:before="1134" w:after="283"/>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spacing w:before="1134" w:after="283"/>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16" w:name="reading-stats"/>
      <w:bookmarkEnd w:id="16"/>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spacing w:before="1134" w:after="283"/>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spacing w:before="1134" w:after="283"/>
        <w:jc w:val="left"/>
        <w:rPr/>
      </w:pPr>
      <w:r>
        <w:rPr>
          <w:rStyle w:val="SourceText"/>
        </w:rPr>
        <w:t>by harness: claude=3</w:t>
      </w:r>
    </w:p>
    <w:p>
      <w:pPr>
        <w:pStyle w:val="BodyText"/>
        <w:numPr>
          <w:ilvl w:val="0"/>
          <w:numId w:val="5"/>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5"/>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5"/>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5"/>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isplayBackgroundShape/>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spacing w:before="1134" w:after="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