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2E3440"/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BodyText"/>
        <w:bidi w:val="0"/>
        <w:jc w:val="left"/>
        <w:rPr/>
      </w:pPr>
      <w:r>
        <w:rPr/>
        <w:t xml:space="preserve">Steps marked </w:t>
      </w:r>
      <w:r>
        <w:rPr>
          <w:rStyle w:val="Strong"/>
        </w:rPr>
        <w:t>(arrives in T4)</w:t>
      </w:r>
      <w:r>
        <w:rPr/>
        <w:t xml:space="preserve"> name commands that the crew 1.0 build has not shipped yet. Until they land, use the 0.20 command named beside them.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060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6"/>
        <w:gridCol w:w="4500"/>
        <w:gridCol w:w="4527"/>
        <w:gridCol w:w="1189"/>
      </w:tblGrid>
      <w:tr>
        <w:trPr>
          <w:tblHeader w:val="true"/>
        </w:trPr>
        <w:tc>
          <w:tcPr>
            <w:tcW w:w="3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45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Minutes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45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45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45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a </w:t>
            </w:r>
            <w:r>
              <w:rPr>
                <w:rStyle w:val="SourceText"/>
              </w:rPr>
              <w:t>config</w:t>
            </w:r>
            <w:r>
              <w:rPr/>
              <w:t xml:space="preserve"> line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45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Existing 0.20 repos only: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crew.json schema 1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45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4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spacing w:before="1134" w:after="283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spacing w:before="1134" w:after="283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spacing w:before="1134" w:after="283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spacing w:before="1134" w:after="283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spacing w:before="1134" w:after="283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a </w:t>
      </w:r>
      <w:r>
        <w:rPr>
          <w:rStyle w:val="SourceText"/>
        </w:rPr>
        <w:t>config</w:t>
      </w:r>
      <w:r>
        <w:rPr/>
        <w:t xml:space="preserve"> line naming a schema.</w:t>
      </w:r>
    </w:p>
    <w:p>
      <w:pPr>
        <w:pStyle w:val="BodyText"/>
        <w:bidi w:val="0"/>
        <w:jc w:val="left"/>
        <w:rPr/>
      </w:pPr>
      <w:r>
        <w:rPr/>
        <w:t xml:space="preserve">Today </w:t>
      </w:r>
      <w:r>
        <w:rPr>
          <w:rStyle w:val="SourceText"/>
        </w:rPr>
        <w:t>/crew:init</w:t>
      </w:r>
      <w:r>
        <w:rPr/>
        <w:t xml:space="preserve"> still writes the 0.20 </w:t>
      </w:r>
      <w:r>
        <w:rPr>
          <w:rStyle w:val="SourceText"/>
        </w:rPr>
        <w:t>.crew/config.json</w:t>
      </w:r>
      <w:r>
        <w:rPr/>
        <w:t xml:space="preserve">. Run step 4 straight after it until init writes </w:t>
      </w:r>
      <w:r>
        <w:rPr>
          <w:rStyle w:val="SourceText"/>
        </w:rPr>
        <w:t>.crew/crew.json</w:t>
      </w:r>
      <w:r>
        <w:rPr/>
        <w:t xml:space="preserve"> itself.</w:t>
      </w:r>
    </w:p>
    <w:p>
      <w:pPr>
        <w:pStyle w:val="Heading2"/>
        <w:bidi w:val="0"/>
        <w:ind w:hanging="0" w:left="0" w:right="0"/>
        <w:jc w:val="left"/>
        <w:rPr/>
      </w:pPr>
      <w:bookmarkStart w:id="8" w:name="4-existing-repositories-migrate-once"/>
      <w:bookmarkEnd w:id="8"/>
      <w:r>
        <w:rPr/>
        <w:t>4. Existing Repositories: Migrate Once</w:t>
      </w:r>
    </w:p>
    <w:p>
      <w:pPr>
        <w:pStyle w:val="BodyText"/>
        <w:bidi w:val="0"/>
        <w:jc w:val="left"/>
        <w:rPr/>
      </w:pPr>
      <w:r>
        <w:rPr/>
        <w:t xml:space="preserve">If the repository already used crew 0.20, or you just ran </w:t>
      </w:r>
      <w:r>
        <w:rPr>
          <w:rStyle w:val="SourceText"/>
        </w:rPr>
        <w:t>/crew:init</w:t>
      </w:r>
      <w:r>
        <w:rPr/>
        <w:t>:</w:t>
      </w:r>
    </w:p>
    <w:p>
      <w:pPr>
        <w:pStyle w:val="PreformattedText"/>
        <w:bidi w:val="0"/>
        <w:spacing w:before="1134" w:after="283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</w:t>
      </w:r>
      <w:r>
        <w:rPr>
          <w:rStyle w:val="SourceText"/>
        </w:rPr>
        <w:t>.crew/metrics.jsonl</w:t>
      </w:r>
      <w:r>
        <w:rPr/>
        <w:t xml:space="preserve">,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 and you may retire later.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spacing w:before="1134" w:after="283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spacing w:before="1134" w:after="283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optional-let-a-long-session-wrap-up-clea"/>
      <w:bookmarkEnd w:id="10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spacing w:before="1134" w:after="283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1" w:name="if-something-goes-wrong"/>
      <w:bookmarkEnd w:id="11"/>
      <w:r>
        <w:rPr/>
        <w:t>If Something Goes Wrong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22"/>
        <w:gridCol w:w="7317"/>
      </w:tblGrid>
      <w:tr>
        <w:trPr>
          <w:tblHeader w:val="true"/>
        </w:trPr>
        <w:tc>
          <w:tcPr>
            <w:tcW w:w="4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>The full troubleshooting guide arrives in T10.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isplayBackgroundShape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PreformattedText">
    <w:name w:val="Preformatted Text"/>
    <w:basedOn w:val="Normal"/>
    <w:qFormat/>
    <w:pPr>
      <w:spacing w:before="1134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