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EC432" w14:textId="77777777" w:rsidR="001D255B" w:rsidRDefault="001D255B">
      <w:pPr>
        <w:pStyle w:val="Heading1"/>
        <w:divId w:val="355160719"/>
        <w:rPr>
          <w:rFonts w:ascii="Calibri" w:eastAsia="Times New Roman" w:hAnsi="Calibri" w:cs="Calibri"/>
          <w:lang w:val="en"/>
        </w:rPr>
      </w:pPr>
      <w:r>
        <w:rPr>
          <w:rFonts w:ascii="Calibri" w:eastAsia="Times New Roman" w:hAnsi="Calibri" w:cs="Calibri"/>
          <w:lang w:val="en"/>
        </w:rPr>
        <w:t>Crew progress report: 19 to 20 September 2026</w:t>
      </w:r>
    </w:p>
    <w:p w14:paraId="75797020" w14:textId="77777777" w:rsidR="001D255B" w:rsidRDefault="001D255B">
      <w:pPr>
        <w:pStyle w:val="muted"/>
        <w:spacing w:before="120" w:after="120"/>
        <w:divId w:val="355160719"/>
        <w:rPr>
          <w:rFonts w:ascii="Calibri" w:hAnsi="Calibri" w:cs="Calibri"/>
          <w:lang w:val="en"/>
        </w:rPr>
      </w:pPr>
      <w:r>
        <w:rPr>
          <w:rFonts w:ascii="Calibri" w:hAnsi="Calibri" w:cs="Calibri"/>
          <w:lang w:val="en"/>
        </w:rPr>
        <w:t xml:space="preserve">What improved in this session, and how the repository compares with one month ago. Figures read from </w:t>
      </w:r>
      <w:r>
        <w:rPr>
          <w:rStyle w:val="HTMLCode"/>
          <w:lang w:val="en"/>
        </w:rPr>
        <w:t>origin/main</w:t>
      </w:r>
      <w:r>
        <w:rPr>
          <w:rFonts w:ascii="Calibri" w:hAnsi="Calibri" w:cs="Calibri"/>
          <w:lang w:val="en"/>
        </w:rPr>
        <w:t xml:space="preserve"> at ff48c381 (20 September) against fdcee1d3 (19 August). Review counts from </w:t>
      </w:r>
      <w:r>
        <w:rPr>
          <w:rStyle w:val="HTMLCode"/>
          <w:lang w:val="en"/>
        </w:rPr>
        <w:t>.crew/metrics.md</w:t>
      </w:r>
      <w:r>
        <w:rPr>
          <w:rFonts w:ascii="Calibri" w:hAnsi="Calibri" w:cs="Calibri"/>
          <w:lang w:val="en"/>
        </w:rPr>
        <w:t>.</w:t>
      </w:r>
    </w:p>
    <w:p w14:paraId="4ECF8425" w14:textId="77777777" w:rsidR="001D255B" w:rsidRDefault="001D255B">
      <w:pPr>
        <w:pStyle w:val="NormalWeb"/>
        <w:shd w:val="clear" w:color="auto" w:fill="F3F6FA"/>
        <w:divId w:val="406809204"/>
        <w:rPr>
          <w:rFonts w:ascii="Calibri" w:hAnsi="Calibri" w:cs="Calibri"/>
          <w:color w:val="1A1A1A"/>
          <w:sz w:val="22"/>
          <w:szCs w:val="22"/>
          <w:lang w:val="en"/>
        </w:rPr>
      </w:pPr>
      <w:r>
        <w:rPr>
          <w:rFonts w:ascii="Calibri" w:hAnsi="Calibri" w:cs="Calibri"/>
          <w:b/>
          <w:bCs/>
          <w:color w:val="1A1A1A"/>
          <w:sz w:val="22"/>
          <w:szCs w:val="22"/>
          <w:lang w:val="en"/>
        </w:rPr>
        <w:t>In one paragraph.</w:t>
      </w:r>
      <w:r>
        <w:rPr>
          <w:rFonts w:ascii="Calibri" w:hAnsi="Calibri" w:cs="Calibri"/>
          <w:color w:val="1A1A1A"/>
          <w:sz w:val="22"/>
          <w:szCs w:val="22"/>
          <w:lang w:val="en"/>
        </w:rPr>
        <w:t xml:space="preserve"> </w:t>
      </w:r>
      <w:r>
        <w:rPr>
          <w:rFonts w:ascii="Calibri" w:hAnsi="Calibri" w:cs="Calibri"/>
          <w:color w:val="1A1A1A"/>
          <w:sz w:val="22"/>
          <w:szCs w:val="22"/>
          <w:lang w:val="en"/>
        </w:rPr>
        <w:t>Eight of the ten research findings are merged and the ninth is landing. The Stop hook that took seven minutes per turn is fixed at its root and shipped as crew 0.19.94. The plugin gained a mechanical write guard, a live behaviour eval suite, an idle rule that closes a stall that had cost whole nights, and YAML-safe frontmatter on every one of its 54 agents. A month ago the plugin directory did not exist.</w:t>
      </w:r>
    </w:p>
    <w:p w14:paraId="0A0D577C" w14:textId="77777777" w:rsidR="001D255B" w:rsidRDefault="001D255B">
      <w:pPr>
        <w:pStyle w:val="Heading2"/>
        <w:divId w:val="355160719"/>
        <w:rPr>
          <w:rFonts w:ascii="Calibri" w:eastAsia="Times New Roman" w:hAnsi="Calibri" w:cs="Calibri"/>
          <w:lang w:val="en"/>
        </w:rPr>
      </w:pPr>
      <w:r>
        <w:rPr>
          <w:rFonts w:ascii="Calibri" w:eastAsia="Times New Roman" w:hAnsi="Calibri" w:cs="Calibri"/>
          <w:lang w:val="en"/>
        </w:rPr>
        <w:t>1. What was asked for, and what landed</w:t>
      </w:r>
    </w:p>
    <w:tbl>
      <w:tblPr>
        <w:tblW w:w="5000" w:type="pct"/>
        <w:tblCellMar>
          <w:top w:w="15" w:type="dxa"/>
          <w:left w:w="15" w:type="dxa"/>
          <w:bottom w:w="15" w:type="dxa"/>
          <w:right w:w="15" w:type="dxa"/>
        </w:tblCellMar>
        <w:tblLook w:val="04A0" w:firstRow="1" w:lastRow="0" w:firstColumn="1" w:lastColumn="0" w:noHBand="0" w:noVBand="1"/>
      </w:tblPr>
      <w:tblGrid>
        <w:gridCol w:w="2001"/>
        <w:gridCol w:w="5402"/>
        <w:gridCol w:w="1957"/>
      </w:tblGrid>
      <w:tr w:rsidR="00000000" w14:paraId="2211F9A0" w14:textId="77777777">
        <w:trPr>
          <w:divId w:val="355160719"/>
        </w:trPr>
        <w:tc>
          <w:tcPr>
            <w:tcW w:w="0" w:type="auto"/>
            <w:shd w:val="clear" w:color="auto" w:fill="1F4E79"/>
            <w:tcMar>
              <w:top w:w="100" w:type="dxa"/>
              <w:left w:w="120" w:type="dxa"/>
              <w:bottom w:w="100" w:type="dxa"/>
              <w:right w:w="120" w:type="dxa"/>
            </w:tcMar>
            <w:vAlign w:val="center"/>
            <w:hideMark/>
          </w:tcPr>
          <w:p w14:paraId="3CE1F3EF"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Ask</w:t>
            </w:r>
          </w:p>
        </w:tc>
        <w:tc>
          <w:tcPr>
            <w:tcW w:w="0" w:type="auto"/>
            <w:shd w:val="clear" w:color="auto" w:fill="1F4E79"/>
            <w:tcMar>
              <w:top w:w="100" w:type="dxa"/>
              <w:left w:w="120" w:type="dxa"/>
              <w:bottom w:w="100" w:type="dxa"/>
              <w:right w:w="120" w:type="dxa"/>
            </w:tcMar>
            <w:vAlign w:val="center"/>
            <w:hideMark/>
          </w:tcPr>
          <w:p w14:paraId="4357E107"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Result</w:t>
            </w:r>
          </w:p>
        </w:tc>
        <w:tc>
          <w:tcPr>
            <w:tcW w:w="0" w:type="auto"/>
            <w:shd w:val="clear" w:color="auto" w:fill="1F4E79"/>
            <w:tcMar>
              <w:top w:w="100" w:type="dxa"/>
              <w:left w:w="120" w:type="dxa"/>
              <w:bottom w:w="100" w:type="dxa"/>
              <w:right w:w="120" w:type="dxa"/>
            </w:tcMar>
            <w:vAlign w:val="center"/>
            <w:hideMark/>
          </w:tcPr>
          <w:p w14:paraId="1D60B524"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Where</w:t>
            </w:r>
          </w:p>
        </w:tc>
      </w:tr>
      <w:tr w:rsidR="00000000" w14:paraId="7D171F8E" w14:textId="77777777">
        <w:trPr>
          <w:divId w:val="355160719"/>
        </w:trPr>
        <w:tc>
          <w:tcPr>
            <w:tcW w:w="0" w:type="auto"/>
            <w:tcBorders>
              <w:bottom w:val="single" w:sz="6" w:space="0" w:color="C8CDD2"/>
            </w:tcBorders>
            <w:tcMar>
              <w:top w:w="100" w:type="dxa"/>
              <w:left w:w="120" w:type="dxa"/>
              <w:bottom w:w="100" w:type="dxa"/>
              <w:right w:w="120" w:type="dxa"/>
            </w:tcMar>
            <w:hideMark/>
          </w:tcPr>
          <w:p w14:paraId="26A236E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Stop hooks take forever; I cancel them</w:t>
            </w:r>
          </w:p>
        </w:tc>
        <w:tc>
          <w:tcPr>
            <w:tcW w:w="0" w:type="auto"/>
            <w:tcBorders>
              <w:bottom w:val="single" w:sz="6" w:space="0" w:color="C8CDD2"/>
            </w:tcBorders>
            <w:tcMar>
              <w:top w:w="100" w:type="dxa"/>
              <w:left w:w="120" w:type="dxa"/>
              <w:bottom w:w="100" w:type="dxa"/>
              <w:right w:w="120" w:type="dxa"/>
            </w:tcMar>
            <w:hideMark/>
          </w:tcPr>
          <w:p w14:paraId="38213C92"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Root cause found (a marker that only advanced when nothing was deferred, and unpriced rules that could never be deferred), hot-fixed on this machine the same morning, and fixed durably: per-rule verified record, measure-and-cache pricing, reach declarations, env pinning, exit 77 as SKIP.</w:t>
            </w:r>
          </w:p>
        </w:tc>
        <w:tc>
          <w:tcPr>
            <w:tcW w:w="0" w:type="auto"/>
            <w:tcBorders>
              <w:bottom w:val="single" w:sz="6" w:space="0" w:color="C8CDD2"/>
            </w:tcBorders>
            <w:tcMar>
              <w:top w:w="100" w:type="dxa"/>
              <w:left w:w="120" w:type="dxa"/>
              <w:bottom w:w="100" w:type="dxa"/>
              <w:right w:w="120" w:type="dxa"/>
            </w:tcMar>
            <w:hideMark/>
          </w:tcPr>
          <w:p w14:paraId="6E1D822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 #197, PR #202, crew 0.19.94</w:t>
            </w:r>
          </w:p>
        </w:tc>
      </w:tr>
      <w:tr w:rsidR="00000000" w14:paraId="6C18323C" w14:textId="77777777">
        <w:trPr>
          <w:divId w:val="355160719"/>
        </w:trPr>
        <w:tc>
          <w:tcPr>
            <w:tcW w:w="0" w:type="auto"/>
            <w:tcBorders>
              <w:bottom w:val="single" w:sz="6" w:space="0" w:color="C8CDD2"/>
            </w:tcBorders>
            <w:tcMar>
              <w:top w:w="100" w:type="dxa"/>
              <w:left w:w="120" w:type="dxa"/>
              <w:bottom w:w="100" w:type="dxa"/>
              <w:right w:w="120" w:type="dxa"/>
            </w:tcMar>
            <w:hideMark/>
          </w:tcPr>
          <w:p w14:paraId="7B22817E"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The crew loses the picture and wanders</w:t>
            </w:r>
          </w:p>
        </w:tc>
        <w:tc>
          <w:tcPr>
            <w:tcW w:w="0" w:type="auto"/>
            <w:tcBorders>
              <w:bottom w:val="single" w:sz="6" w:space="0" w:color="C8CDD2"/>
            </w:tcBorders>
            <w:tcMar>
              <w:top w:w="100" w:type="dxa"/>
              <w:left w:w="120" w:type="dxa"/>
              <w:bottom w:w="100" w:type="dxa"/>
              <w:right w:w="120" w:type="dxa"/>
            </w:tcMar>
            <w:hideMark/>
          </w:tcPr>
          <w:p w14:paraId="75CEC92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Scope evidence now diffs against the ticket's own start commit rather than the verification marker, and the developer may commit on its own branch, which every brief assumed and the role file forbade.</w:t>
            </w:r>
          </w:p>
        </w:tc>
        <w:tc>
          <w:tcPr>
            <w:tcW w:w="0" w:type="auto"/>
            <w:tcBorders>
              <w:bottom w:val="single" w:sz="6" w:space="0" w:color="C8CDD2"/>
            </w:tcBorders>
            <w:tcMar>
              <w:top w:w="100" w:type="dxa"/>
              <w:left w:w="120" w:type="dxa"/>
              <w:bottom w:w="100" w:type="dxa"/>
              <w:right w:w="120" w:type="dxa"/>
            </w:tcMar>
            <w:hideMark/>
          </w:tcPr>
          <w:p w14:paraId="19083CFB"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Ticket T-0003, crew 0.19.95, merging</w:t>
            </w:r>
          </w:p>
        </w:tc>
      </w:tr>
      <w:tr w:rsidR="00000000" w14:paraId="26ADB198" w14:textId="77777777">
        <w:trPr>
          <w:divId w:val="355160719"/>
        </w:trPr>
        <w:tc>
          <w:tcPr>
            <w:tcW w:w="0" w:type="auto"/>
            <w:tcBorders>
              <w:bottom w:val="single" w:sz="6" w:space="0" w:color="C8CDD2"/>
            </w:tcBorders>
            <w:tcMar>
              <w:top w:w="100" w:type="dxa"/>
              <w:left w:w="120" w:type="dxa"/>
              <w:bottom w:w="100" w:type="dxa"/>
              <w:right w:w="120" w:type="dxa"/>
            </w:tcMar>
            <w:hideMark/>
          </w:tcPr>
          <w:p w14:paraId="774C2BD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Roles veer off and idle</w:t>
            </w:r>
          </w:p>
        </w:tc>
        <w:tc>
          <w:tcPr>
            <w:tcW w:w="0" w:type="auto"/>
            <w:tcBorders>
              <w:bottom w:val="single" w:sz="6" w:space="0" w:color="C8CDD2"/>
            </w:tcBorders>
            <w:tcMar>
              <w:top w:w="100" w:type="dxa"/>
              <w:left w:w="120" w:type="dxa"/>
              <w:bottom w:w="100" w:type="dxa"/>
              <w:right w:w="120" w:type="dxa"/>
            </w:tcMar>
            <w:hideMark/>
          </w:tcPr>
          <w:p w14:paraId="4039F33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Every role that runs a gate runs it in the foreground and never ends a turn waiting on a background task; the PM checks worktree file times before calling a role stalled and escalates instead of restarting it.</w:t>
            </w:r>
          </w:p>
        </w:tc>
        <w:tc>
          <w:tcPr>
            <w:tcW w:w="0" w:type="auto"/>
            <w:tcBorders>
              <w:bottom w:val="single" w:sz="6" w:space="0" w:color="C8CDD2"/>
            </w:tcBorders>
            <w:tcMar>
              <w:top w:w="100" w:type="dxa"/>
              <w:left w:w="120" w:type="dxa"/>
              <w:bottom w:w="100" w:type="dxa"/>
              <w:right w:w="120" w:type="dxa"/>
            </w:tcMar>
            <w:hideMark/>
          </w:tcPr>
          <w:p w14:paraId="0A34CD1E"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 #198, crew 0.19.90</w:t>
            </w:r>
          </w:p>
        </w:tc>
      </w:tr>
      <w:tr w:rsidR="00000000" w14:paraId="5636ABB3" w14:textId="77777777">
        <w:trPr>
          <w:divId w:val="355160719"/>
        </w:trPr>
        <w:tc>
          <w:tcPr>
            <w:tcW w:w="0" w:type="auto"/>
            <w:tcBorders>
              <w:bottom w:val="single" w:sz="6" w:space="0" w:color="C8CDD2"/>
            </w:tcBorders>
            <w:tcMar>
              <w:top w:w="100" w:type="dxa"/>
              <w:left w:w="120" w:type="dxa"/>
              <w:bottom w:w="100" w:type="dxa"/>
              <w:right w:w="120" w:type="dxa"/>
            </w:tcMar>
            <w:hideMark/>
          </w:tcPr>
          <w:p w14:paraId="7082E8CF"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The PM should not write code</w:t>
            </w:r>
          </w:p>
        </w:tc>
        <w:tc>
          <w:tcPr>
            <w:tcW w:w="0" w:type="auto"/>
            <w:tcBorders>
              <w:bottom w:val="single" w:sz="6" w:space="0" w:color="C8CDD2"/>
            </w:tcBorders>
            <w:tcMar>
              <w:top w:w="100" w:type="dxa"/>
              <w:left w:w="120" w:type="dxa"/>
              <w:bottom w:w="100" w:type="dxa"/>
              <w:right w:w="120" w:type="dxa"/>
            </w:tcMar>
            <w:hideMark/>
          </w:tcPr>
          <w:p w14:paraId="692A502C"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 PreToolUse write guard enforces each role's scope from its own tools frontmatter; off by default, block as the floor, corrupt config forces the strict setting.</w:t>
            </w:r>
          </w:p>
        </w:tc>
        <w:tc>
          <w:tcPr>
            <w:tcW w:w="0" w:type="auto"/>
            <w:tcBorders>
              <w:bottom w:val="single" w:sz="6" w:space="0" w:color="C8CDD2"/>
            </w:tcBorders>
            <w:tcMar>
              <w:top w:w="100" w:type="dxa"/>
              <w:left w:w="120" w:type="dxa"/>
              <w:bottom w:w="100" w:type="dxa"/>
              <w:right w:w="120" w:type="dxa"/>
            </w:tcMar>
            <w:hideMark/>
          </w:tcPr>
          <w:p w14:paraId="1752954F"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 #200, crew 0.19.92</w:t>
            </w:r>
          </w:p>
        </w:tc>
      </w:tr>
      <w:tr w:rsidR="00000000" w14:paraId="645B0D18" w14:textId="77777777">
        <w:trPr>
          <w:divId w:val="355160719"/>
        </w:trPr>
        <w:tc>
          <w:tcPr>
            <w:tcW w:w="0" w:type="auto"/>
            <w:tcBorders>
              <w:bottom w:val="single" w:sz="6" w:space="0" w:color="C8CDD2"/>
            </w:tcBorders>
            <w:tcMar>
              <w:top w:w="100" w:type="dxa"/>
              <w:left w:w="120" w:type="dxa"/>
              <w:bottom w:w="100" w:type="dxa"/>
              <w:right w:w="120" w:type="dxa"/>
            </w:tcMar>
            <w:hideMark/>
          </w:tcPr>
          <w:p w14:paraId="0A65CE1E"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Test that the rules work, not that they are written</w:t>
            </w:r>
          </w:p>
        </w:tc>
        <w:tc>
          <w:tcPr>
            <w:tcW w:w="0" w:type="auto"/>
            <w:tcBorders>
              <w:bottom w:val="single" w:sz="6" w:space="0" w:color="C8CDD2"/>
            </w:tcBorders>
            <w:tcMar>
              <w:top w:w="100" w:type="dxa"/>
              <w:left w:w="120" w:type="dxa"/>
              <w:bottom w:w="100" w:type="dxa"/>
              <w:right w:w="120" w:type="dxa"/>
            </w:tcMar>
            <w:hideMark/>
          </w:tcPr>
          <w:p w14:paraId="7EA1117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Five live eval cases against a real model; the first run caught the PM editing code itself.</w:t>
            </w:r>
          </w:p>
        </w:tc>
        <w:tc>
          <w:tcPr>
            <w:tcW w:w="0" w:type="auto"/>
            <w:tcBorders>
              <w:bottom w:val="single" w:sz="6" w:space="0" w:color="C8CDD2"/>
            </w:tcBorders>
            <w:tcMar>
              <w:top w:w="100" w:type="dxa"/>
              <w:left w:w="120" w:type="dxa"/>
              <w:bottom w:w="100" w:type="dxa"/>
              <w:right w:w="120" w:type="dxa"/>
            </w:tcMar>
            <w:hideMark/>
          </w:tcPr>
          <w:p w14:paraId="0426ECE7"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 #199, crew 0.19.91</w:t>
            </w:r>
          </w:p>
        </w:tc>
      </w:tr>
      <w:tr w:rsidR="00000000" w14:paraId="6DAA83AD" w14:textId="77777777">
        <w:trPr>
          <w:divId w:val="355160719"/>
        </w:trPr>
        <w:tc>
          <w:tcPr>
            <w:tcW w:w="0" w:type="auto"/>
            <w:tcBorders>
              <w:bottom w:val="single" w:sz="6" w:space="0" w:color="C8CDD2"/>
            </w:tcBorders>
            <w:tcMar>
              <w:top w:w="100" w:type="dxa"/>
              <w:left w:w="120" w:type="dxa"/>
              <w:bottom w:w="100" w:type="dxa"/>
              <w:right w:w="120" w:type="dxa"/>
            </w:tcMar>
            <w:hideMark/>
          </w:tcPr>
          <w:p w14:paraId="14122DE2"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Adopt the agent example convention</w:t>
            </w:r>
          </w:p>
        </w:tc>
        <w:tc>
          <w:tcPr>
            <w:tcW w:w="0" w:type="auto"/>
            <w:tcBorders>
              <w:bottom w:val="single" w:sz="6" w:space="0" w:color="C8CDD2"/>
            </w:tcBorders>
            <w:tcMar>
              <w:top w:w="100" w:type="dxa"/>
              <w:left w:w="120" w:type="dxa"/>
              <w:bottom w:w="100" w:type="dxa"/>
              <w:right w:w="120" w:type="dxa"/>
            </w:tcMar>
            <w:hideMark/>
          </w:tcPr>
          <w:p w14:paraId="1876FA9D"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All 54 agents carry their example inside a block scalar; the official convention breaks YAML and silently drops tools and model.</w:t>
            </w:r>
          </w:p>
        </w:tc>
        <w:tc>
          <w:tcPr>
            <w:tcW w:w="0" w:type="auto"/>
            <w:tcBorders>
              <w:bottom w:val="single" w:sz="6" w:space="0" w:color="C8CDD2"/>
            </w:tcBorders>
            <w:tcMar>
              <w:top w:w="100" w:type="dxa"/>
              <w:left w:w="120" w:type="dxa"/>
              <w:bottom w:w="100" w:type="dxa"/>
              <w:right w:w="120" w:type="dxa"/>
            </w:tcMar>
            <w:hideMark/>
          </w:tcPr>
          <w:p w14:paraId="277925C3"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 #201, crew 0.19.93</w:t>
            </w:r>
          </w:p>
        </w:tc>
      </w:tr>
      <w:tr w:rsidR="00000000" w14:paraId="3CD1A5AF" w14:textId="77777777">
        <w:trPr>
          <w:divId w:val="355160719"/>
        </w:trPr>
        <w:tc>
          <w:tcPr>
            <w:tcW w:w="0" w:type="auto"/>
            <w:tcBorders>
              <w:bottom w:val="single" w:sz="6" w:space="0" w:color="C8CDD2"/>
            </w:tcBorders>
            <w:tcMar>
              <w:top w:w="100" w:type="dxa"/>
              <w:left w:w="120" w:type="dxa"/>
              <w:bottom w:w="100" w:type="dxa"/>
              <w:right w:w="120" w:type="dxa"/>
            </w:tcMar>
            <w:hideMark/>
          </w:tcPr>
          <w:p w14:paraId="418A7BE2"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Frontmatter that silently fails to load</w:t>
            </w:r>
          </w:p>
        </w:tc>
        <w:tc>
          <w:tcPr>
            <w:tcW w:w="0" w:type="auto"/>
            <w:tcBorders>
              <w:bottom w:val="single" w:sz="6" w:space="0" w:color="C8CDD2"/>
            </w:tcBorders>
            <w:tcMar>
              <w:top w:w="100" w:type="dxa"/>
              <w:left w:w="120" w:type="dxa"/>
              <w:bottom w:w="100" w:type="dxa"/>
              <w:right w:w="120" w:type="dxa"/>
            </w:tcMar>
            <w:hideMark/>
          </w:tcPr>
          <w:p w14:paraId="78BF66A3"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Four command files fixed; the marketplace check now parses every command, skill and agent file as YAML.</w:t>
            </w:r>
          </w:p>
        </w:tc>
        <w:tc>
          <w:tcPr>
            <w:tcW w:w="0" w:type="auto"/>
            <w:tcBorders>
              <w:bottom w:val="single" w:sz="6" w:space="0" w:color="C8CDD2"/>
            </w:tcBorders>
            <w:tcMar>
              <w:top w:w="100" w:type="dxa"/>
              <w:left w:w="120" w:type="dxa"/>
              <w:bottom w:w="100" w:type="dxa"/>
              <w:right w:w="120" w:type="dxa"/>
            </w:tcMar>
            <w:hideMark/>
          </w:tcPr>
          <w:p w14:paraId="61D17DBD"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PR #196</w:t>
            </w:r>
          </w:p>
        </w:tc>
      </w:tr>
      <w:tr w:rsidR="00000000" w14:paraId="224B93E7" w14:textId="77777777">
        <w:trPr>
          <w:divId w:val="355160719"/>
        </w:trPr>
        <w:tc>
          <w:tcPr>
            <w:tcW w:w="0" w:type="auto"/>
            <w:tcBorders>
              <w:bottom w:val="single" w:sz="6" w:space="0" w:color="C8CDD2"/>
            </w:tcBorders>
            <w:tcMar>
              <w:top w:w="100" w:type="dxa"/>
              <w:left w:w="120" w:type="dxa"/>
              <w:bottom w:w="100" w:type="dxa"/>
              <w:right w:w="120" w:type="dxa"/>
            </w:tcMar>
            <w:hideMark/>
          </w:tcPr>
          <w:p w14:paraId="51CE053D"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Human-readable documentation</w:t>
            </w:r>
          </w:p>
        </w:tc>
        <w:tc>
          <w:tcPr>
            <w:tcW w:w="0" w:type="auto"/>
            <w:tcBorders>
              <w:bottom w:val="single" w:sz="6" w:space="0" w:color="C8CDD2"/>
            </w:tcBorders>
            <w:tcMar>
              <w:top w:w="100" w:type="dxa"/>
              <w:left w:w="120" w:type="dxa"/>
              <w:bottom w:w="100" w:type="dxa"/>
              <w:right w:w="120" w:type="dxa"/>
            </w:tcMar>
            <w:hideMark/>
          </w:tcPr>
          <w:p w14:paraId="67ABC6C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Three capability guides (overview, technical reference, combined) as HTML, DOCX and PDF, mirrored to the Obsidian vault with the code map and diagrams.</w:t>
            </w:r>
          </w:p>
        </w:tc>
        <w:tc>
          <w:tcPr>
            <w:tcW w:w="0" w:type="auto"/>
            <w:tcBorders>
              <w:bottom w:val="single" w:sz="6" w:space="0" w:color="C8CDD2"/>
            </w:tcBorders>
            <w:tcMar>
              <w:top w:w="100" w:type="dxa"/>
              <w:left w:w="120" w:type="dxa"/>
              <w:bottom w:w="100" w:type="dxa"/>
              <w:right w:w="120" w:type="dxa"/>
            </w:tcMar>
            <w:hideMark/>
          </w:tcPr>
          <w:p w14:paraId="43F4D2E6" w14:textId="77777777" w:rsidR="001D255B" w:rsidRDefault="001D255B">
            <w:pPr>
              <w:spacing w:before="160" w:after="240"/>
              <w:rPr>
                <w:rFonts w:ascii="Calibri" w:eastAsia="Times New Roman" w:hAnsi="Calibri" w:cs="Calibri"/>
                <w:color w:val="1A1A1A"/>
                <w:sz w:val="20"/>
                <w:szCs w:val="20"/>
              </w:rPr>
            </w:pPr>
            <w:r>
              <w:rPr>
                <w:rStyle w:val="HTMLCode"/>
                <w:color w:val="1A1A1A"/>
              </w:rPr>
              <w:t>docs/guides/</w:t>
            </w:r>
            <w:r>
              <w:rPr>
                <w:rFonts w:ascii="Calibri" w:eastAsia="Times New Roman" w:hAnsi="Calibri" w:cs="Calibri"/>
                <w:color w:val="1A1A1A"/>
                <w:sz w:val="20"/>
                <w:szCs w:val="20"/>
              </w:rPr>
              <w:t xml:space="preserve">, vault </w:t>
            </w:r>
            <w:r>
              <w:rPr>
                <w:rStyle w:val="HTMLCode"/>
                <w:color w:val="1A1A1A"/>
              </w:rPr>
              <w:t>wiki/crew-plugin/</w:t>
            </w:r>
          </w:p>
        </w:tc>
      </w:tr>
    </w:tbl>
    <w:p w14:paraId="4875D04C" w14:textId="77777777" w:rsidR="001D255B" w:rsidRDefault="001D255B">
      <w:pPr>
        <w:pStyle w:val="Heading2"/>
        <w:divId w:val="355160719"/>
        <w:rPr>
          <w:rFonts w:ascii="Calibri" w:eastAsia="Times New Roman" w:hAnsi="Calibri" w:cs="Calibri"/>
          <w:lang w:val="en"/>
        </w:rPr>
      </w:pPr>
      <w:r>
        <w:rPr>
          <w:rFonts w:ascii="Calibri" w:eastAsia="Times New Roman" w:hAnsi="Calibri" w:cs="Calibri"/>
          <w:lang w:val="en"/>
        </w:rPr>
        <w:t>2. The Stop hook, before and after</w:t>
      </w:r>
    </w:p>
    <w:tbl>
      <w:tblPr>
        <w:tblW w:w="5000" w:type="pct"/>
        <w:tblCellMar>
          <w:top w:w="15" w:type="dxa"/>
          <w:left w:w="15" w:type="dxa"/>
          <w:bottom w:w="15" w:type="dxa"/>
          <w:right w:w="15" w:type="dxa"/>
        </w:tblCellMar>
        <w:tblLook w:val="04A0" w:firstRow="1" w:lastRow="0" w:firstColumn="1" w:lastColumn="0" w:noHBand="0" w:noVBand="1"/>
      </w:tblPr>
      <w:tblGrid>
        <w:gridCol w:w="1736"/>
        <w:gridCol w:w="4117"/>
        <w:gridCol w:w="3507"/>
      </w:tblGrid>
      <w:tr w:rsidR="00000000" w14:paraId="1F2CDADE" w14:textId="77777777">
        <w:trPr>
          <w:divId w:val="355160719"/>
        </w:trPr>
        <w:tc>
          <w:tcPr>
            <w:tcW w:w="0" w:type="auto"/>
            <w:shd w:val="clear" w:color="auto" w:fill="1F4E79"/>
            <w:tcMar>
              <w:top w:w="100" w:type="dxa"/>
              <w:left w:w="120" w:type="dxa"/>
              <w:bottom w:w="100" w:type="dxa"/>
              <w:right w:w="120" w:type="dxa"/>
            </w:tcMar>
            <w:vAlign w:val="center"/>
            <w:hideMark/>
          </w:tcPr>
          <w:p w14:paraId="6AC4C31B"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Measure</w:t>
            </w:r>
          </w:p>
        </w:tc>
        <w:tc>
          <w:tcPr>
            <w:tcW w:w="0" w:type="auto"/>
            <w:shd w:val="clear" w:color="auto" w:fill="1F4E79"/>
            <w:tcMar>
              <w:top w:w="100" w:type="dxa"/>
              <w:left w:w="120" w:type="dxa"/>
              <w:bottom w:w="100" w:type="dxa"/>
              <w:right w:w="120" w:type="dxa"/>
            </w:tcMar>
            <w:vAlign w:val="center"/>
            <w:hideMark/>
          </w:tcPr>
          <w:p w14:paraId="197DD84D"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Before (19 September, morning)</w:t>
            </w:r>
          </w:p>
        </w:tc>
        <w:tc>
          <w:tcPr>
            <w:tcW w:w="0" w:type="auto"/>
            <w:shd w:val="clear" w:color="auto" w:fill="1F4E79"/>
            <w:tcMar>
              <w:top w:w="100" w:type="dxa"/>
              <w:left w:w="120" w:type="dxa"/>
              <w:bottom w:w="100" w:type="dxa"/>
              <w:right w:w="120" w:type="dxa"/>
            </w:tcMar>
            <w:vAlign w:val="center"/>
            <w:hideMark/>
          </w:tcPr>
          <w:p w14:paraId="0BDFAE42"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After</w:t>
            </w:r>
          </w:p>
        </w:tc>
      </w:tr>
      <w:tr w:rsidR="00000000" w14:paraId="05884D74" w14:textId="77777777">
        <w:trPr>
          <w:divId w:val="355160719"/>
        </w:trPr>
        <w:tc>
          <w:tcPr>
            <w:tcW w:w="0" w:type="auto"/>
            <w:tcBorders>
              <w:bottom w:val="single" w:sz="6" w:space="0" w:color="C8CDD2"/>
            </w:tcBorders>
            <w:tcMar>
              <w:top w:w="100" w:type="dxa"/>
              <w:left w:w="120" w:type="dxa"/>
              <w:bottom w:w="100" w:type="dxa"/>
              <w:right w:w="120" w:type="dxa"/>
            </w:tcMar>
            <w:hideMark/>
          </w:tcPr>
          <w:p w14:paraId="16D535A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Stop hook in this repository</w:t>
            </w:r>
          </w:p>
        </w:tc>
        <w:tc>
          <w:tcPr>
            <w:tcW w:w="0" w:type="auto"/>
            <w:tcBorders>
              <w:bottom w:val="single" w:sz="6" w:space="0" w:color="C8CDD2"/>
            </w:tcBorders>
            <w:tcMar>
              <w:top w:w="100" w:type="dxa"/>
              <w:left w:w="120" w:type="dxa"/>
              <w:bottom w:w="100" w:type="dxa"/>
              <w:right w:w="120" w:type="dxa"/>
            </w:tcMar>
            <w:hideMark/>
          </w:tcPr>
          <w:p w14:paraId="0C788B62"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About 7 minutes per turn; 13 rules over 59 files, marker 41 commits behind</w:t>
            </w:r>
          </w:p>
        </w:tc>
        <w:tc>
          <w:tcPr>
            <w:tcW w:w="0" w:type="auto"/>
            <w:tcBorders>
              <w:bottom w:val="single" w:sz="6" w:space="0" w:color="C8CDD2"/>
            </w:tcBorders>
            <w:tcMar>
              <w:top w:w="100" w:type="dxa"/>
              <w:left w:w="120" w:type="dxa"/>
              <w:bottom w:w="100" w:type="dxa"/>
              <w:right w:w="120" w:type="dxa"/>
            </w:tcMar>
            <w:hideMark/>
          </w:tcPr>
          <w:p w14:paraId="0787F32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Seconds after the hot fix; bounded by the 60 s budget with announced deferrals after 0.19.94</w:t>
            </w:r>
          </w:p>
        </w:tc>
      </w:tr>
      <w:tr w:rsidR="00000000" w14:paraId="58DA8830" w14:textId="77777777">
        <w:trPr>
          <w:divId w:val="355160719"/>
        </w:trPr>
        <w:tc>
          <w:tcPr>
            <w:tcW w:w="0" w:type="auto"/>
            <w:tcBorders>
              <w:bottom w:val="single" w:sz="6" w:space="0" w:color="C8CDD2"/>
            </w:tcBorders>
            <w:tcMar>
              <w:top w:w="100" w:type="dxa"/>
              <w:left w:w="120" w:type="dxa"/>
              <w:bottom w:w="100" w:type="dxa"/>
              <w:right w:w="120" w:type="dxa"/>
            </w:tcMar>
            <w:hideMark/>
          </w:tcPr>
          <w:p w14:paraId="591021A6"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Rules priced here</w:t>
            </w:r>
          </w:p>
        </w:tc>
        <w:tc>
          <w:tcPr>
            <w:tcW w:w="0" w:type="auto"/>
            <w:tcBorders>
              <w:bottom w:val="single" w:sz="6" w:space="0" w:color="C8CDD2"/>
            </w:tcBorders>
            <w:tcMar>
              <w:top w:w="100" w:type="dxa"/>
              <w:left w:w="120" w:type="dxa"/>
              <w:bottom w:w="100" w:type="dxa"/>
              <w:right w:w="120" w:type="dxa"/>
            </w:tcMar>
            <w:hideMark/>
          </w:tcPr>
          <w:p w14:paraId="5AE7B43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11 of 21</w:t>
            </w:r>
          </w:p>
        </w:tc>
        <w:tc>
          <w:tcPr>
            <w:tcW w:w="0" w:type="auto"/>
            <w:tcBorders>
              <w:bottom w:val="single" w:sz="6" w:space="0" w:color="C8CDD2"/>
            </w:tcBorders>
            <w:tcMar>
              <w:top w:w="100" w:type="dxa"/>
              <w:left w:w="120" w:type="dxa"/>
              <w:bottom w:w="100" w:type="dxa"/>
              <w:right w:w="120" w:type="dxa"/>
            </w:tcMar>
            <w:hideMark/>
          </w:tcPr>
          <w:p w14:paraId="05F9BD29"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21 of 21</w:t>
            </w:r>
          </w:p>
        </w:tc>
      </w:tr>
      <w:tr w:rsidR="00000000" w14:paraId="3351B4E9" w14:textId="77777777">
        <w:trPr>
          <w:divId w:val="355160719"/>
        </w:trPr>
        <w:tc>
          <w:tcPr>
            <w:tcW w:w="0" w:type="auto"/>
            <w:tcBorders>
              <w:bottom w:val="single" w:sz="6" w:space="0" w:color="C8CDD2"/>
            </w:tcBorders>
            <w:tcMar>
              <w:top w:w="100" w:type="dxa"/>
              <w:left w:w="120" w:type="dxa"/>
              <w:bottom w:w="100" w:type="dxa"/>
              <w:right w:w="120" w:type="dxa"/>
            </w:tcMar>
            <w:hideMark/>
          </w:tcPr>
          <w:p w14:paraId="52A77F6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Rules with a reach declaration here</w:t>
            </w:r>
          </w:p>
        </w:tc>
        <w:tc>
          <w:tcPr>
            <w:tcW w:w="0" w:type="auto"/>
            <w:tcBorders>
              <w:bottom w:val="single" w:sz="6" w:space="0" w:color="C8CDD2"/>
            </w:tcBorders>
            <w:tcMar>
              <w:top w:w="100" w:type="dxa"/>
              <w:left w:w="120" w:type="dxa"/>
              <w:bottom w:w="100" w:type="dxa"/>
              <w:right w:w="120" w:type="dxa"/>
            </w:tcMar>
            <w:hideMark/>
          </w:tcPr>
          <w:p w14:paraId="7ECFE783"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 of 21</w:t>
            </w:r>
          </w:p>
        </w:tc>
        <w:tc>
          <w:tcPr>
            <w:tcW w:w="0" w:type="auto"/>
            <w:tcBorders>
              <w:bottom w:val="single" w:sz="6" w:space="0" w:color="C8CDD2"/>
            </w:tcBorders>
            <w:tcMar>
              <w:top w:w="100" w:type="dxa"/>
              <w:left w:w="120" w:type="dxa"/>
              <w:bottom w:w="100" w:type="dxa"/>
              <w:right w:w="120" w:type="dxa"/>
            </w:tcMar>
            <w:hideMark/>
          </w:tcPr>
          <w:p w14:paraId="08F17CE9"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18 of 21 declared local; the other 3 are plainly local</w:t>
            </w:r>
          </w:p>
        </w:tc>
      </w:tr>
      <w:tr w:rsidR="00000000" w14:paraId="574BD024" w14:textId="77777777">
        <w:trPr>
          <w:divId w:val="355160719"/>
        </w:trPr>
        <w:tc>
          <w:tcPr>
            <w:tcW w:w="0" w:type="auto"/>
            <w:tcBorders>
              <w:bottom w:val="single" w:sz="6" w:space="0" w:color="C8CDD2"/>
            </w:tcBorders>
            <w:tcMar>
              <w:top w:w="100" w:type="dxa"/>
              <w:left w:w="120" w:type="dxa"/>
              <w:bottom w:w="100" w:type="dxa"/>
              <w:right w:w="120" w:type="dxa"/>
            </w:tcMar>
            <w:hideMark/>
          </w:tcPr>
          <w:p w14:paraId="6096264F"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Other repositories on this machine</w:t>
            </w:r>
          </w:p>
        </w:tc>
        <w:tc>
          <w:tcPr>
            <w:tcW w:w="0" w:type="auto"/>
            <w:tcBorders>
              <w:bottom w:val="single" w:sz="6" w:space="0" w:color="C8CDD2"/>
            </w:tcBorders>
            <w:tcMar>
              <w:top w:w="100" w:type="dxa"/>
              <w:left w:w="120" w:type="dxa"/>
              <w:bottom w:w="100" w:type="dxa"/>
              <w:right w:w="120" w:type="dxa"/>
            </w:tcMar>
            <w:hideMark/>
          </w:tcPr>
          <w:p w14:paraId="7B489277"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TheSelectSource 0 of 28 priced, 10 rules hitting a live dev host over SSM every turn; SRL 0 of 43 priced, no marker, 499 s per Stop</w:t>
            </w:r>
          </w:p>
        </w:tc>
        <w:tc>
          <w:tcPr>
            <w:tcW w:w="0" w:type="auto"/>
            <w:tcBorders>
              <w:bottom w:val="single" w:sz="6" w:space="0" w:color="C8CDD2"/>
            </w:tcBorders>
            <w:tcMar>
              <w:top w:w="100" w:type="dxa"/>
              <w:left w:w="120" w:type="dxa"/>
              <w:bottom w:w="100" w:type="dxa"/>
              <w:right w:w="120" w:type="dxa"/>
            </w:tcMar>
            <w:hideMark/>
          </w:tcPr>
          <w:p w14:paraId="2A27E36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Both told what to declare and price after reloading; a rule that reaches a host can no longer run on Stop undeclared</w:t>
            </w:r>
          </w:p>
        </w:tc>
      </w:tr>
    </w:tbl>
    <w:p w14:paraId="127CDA3C" w14:textId="77777777" w:rsidR="001D255B" w:rsidRDefault="001D255B">
      <w:pPr>
        <w:pStyle w:val="NormalWeb"/>
        <w:ind w:left="1134" w:right="1134"/>
        <w:divId w:val="355160719"/>
        <w:rPr>
          <w:rFonts w:ascii="Calibri" w:hAnsi="Calibri" w:cs="Calibri"/>
          <w:color w:val="1A1A1A"/>
          <w:sz w:val="22"/>
          <w:szCs w:val="22"/>
          <w:lang w:val="en"/>
        </w:rPr>
      </w:pPr>
      <w:r>
        <w:rPr>
          <w:rFonts w:ascii="Calibri" w:hAnsi="Calibri" w:cs="Calibri"/>
          <w:color w:val="1A1A1A"/>
          <w:sz w:val="22"/>
          <w:szCs w:val="22"/>
          <w:lang w:val="en"/>
        </w:rPr>
        <w:t>The durable fix went through eight independent review rounds and a PowerShell security specialist. Rounds 4 to 7 each found a new piece of shell syntax that hid a script from the reach classifier; the answer was to stop modelling shell entirely, so an undeclared rule containing any metacharacter is deferred until declared. Round 8 asked one question, whether the new record could let the marker pass unverified work, and found two ways; both are closed and tested.</w:t>
      </w:r>
    </w:p>
    <w:p w14:paraId="5ACCEB83" w14:textId="77777777" w:rsidR="001D255B" w:rsidRDefault="001D255B">
      <w:pPr>
        <w:pStyle w:val="Heading2"/>
        <w:ind w:left="1134" w:right="1134"/>
        <w:divId w:val="355160719"/>
        <w:rPr>
          <w:rFonts w:ascii="Calibri" w:eastAsia="Times New Roman" w:hAnsi="Calibri" w:cs="Calibri"/>
          <w:lang w:val="en"/>
        </w:rPr>
      </w:pPr>
      <w:r>
        <w:rPr>
          <w:rFonts w:ascii="Calibri" w:eastAsia="Times New Roman" w:hAnsi="Calibri" w:cs="Calibri"/>
          <w:lang w:val="en"/>
        </w:rPr>
        <w:t>3. Review effort this session</w:t>
      </w:r>
    </w:p>
    <w:tbl>
      <w:tblPr>
        <w:tblW w:w="5000" w:type="pct"/>
        <w:tblCellMar>
          <w:top w:w="15" w:type="dxa"/>
          <w:left w:w="15" w:type="dxa"/>
          <w:bottom w:w="15" w:type="dxa"/>
          <w:right w:w="15" w:type="dxa"/>
        </w:tblCellMar>
        <w:tblLook w:val="04A0" w:firstRow="1" w:lastRow="0" w:firstColumn="1" w:lastColumn="0" w:noHBand="0" w:noVBand="1"/>
      </w:tblPr>
      <w:tblGrid>
        <w:gridCol w:w="3808"/>
        <w:gridCol w:w="2081"/>
        <w:gridCol w:w="3471"/>
      </w:tblGrid>
      <w:tr w:rsidR="00000000" w14:paraId="25E7A671" w14:textId="77777777">
        <w:trPr>
          <w:divId w:val="355160719"/>
        </w:trPr>
        <w:tc>
          <w:tcPr>
            <w:tcW w:w="0" w:type="auto"/>
            <w:shd w:val="clear" w:color="auto" w:fill="1F4E79"/>
            <w:tcMar>
              <w:top w:w="100" w:type="dxa"/>
              <w:left w:w="120" w:type="dxa"/>
              <w:bottom w:w="100" w:type="dxa"/>
              <w:right w:w="120" w:type="dxa"/>
            </w:tcMar>
            <w:vAlign w:val="center"/>
            <w:hideMark/>
          </w:tcPr>
          <w:p w14:paraId="0273F7E1"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Branch</w:t>
            </w:r>
          </w:p>
        </w:tc>
        <w:tc>
          <w:tcPr>
            <w:tcW w:w="0" w:type="auto"/>
            <w:shd w:val="clear" w:color="auto" w:fill="1F4E79"/>
            <w:tcMar>
              <w:top w:w="100" w:type="dxa"/>
              <w:left w:w="120" w:type="dxa"/>
              <w:bottom w:w="100" w:type="dxa"/>
              <w:right w:w="120" w:type="dxa"/>
            </w:tcMar>
            <w:vAlign w:val="center"/>
            <w:hideMark/>
          </w:tcPr>
          <w:p w14:paraId="35F92CCF"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Rounds</w:t>
            </w:r>
          </w:p>
        </w:tc>
        <w:tc>
          <w:tcPr>
            <w:tcW w:w="0" w:type="auto"/>
            <w:shd w:val="clear" w:color="auto" w:fill="1F4E79"/>
            <w:tcMar>
              <w:top w:w="100" w:type="dxa"/>
              <w:left w:w="120" w:type="dxa"/>
              <w:bottom w:w="100" w:type="dxa"/>
              <w:right w:w="120" w:type="dxa"/>
            </w:tcMar>
            <w:vAlign w:val="center"/>
            <w:hideMark/>
          </w:tcPr>
          <w:p w14:paraId="3338D246"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Findings fixed</w:t>
            </w:r>
          </w:p>
        </w:tc>
      </w:tr>
      <w:tr w:rsidR="00000000" w14:paraId="50CBC791" w14:textId="77777777">
        <w:trPr>
          <w:divId w:val="355160719"/>
        </w:trPr>
        <w:tc>
          <w:tcPr>
            <w:tcW w:w="0" w:type="auto"/>
            <w:tcBorders>
              <w:bottom w:val="single" w:sz="6" w:space="0" w:color="C8CDD2"/>
            </w:tcBorders>
            <w:tcMar>
              <w:top w:w="100" w:type="dxa"/>
              <w:left w:w="120" w:type="dxa"/>
              <w:bottom w:w="100" w:type="dxa"/>
              <w:right w:w="120" w:type="dxa"/>
            </w:tcMar>
            <w:hideMark/>
          </w:tcPr>
          <w:p w14:paraId="42E8FCD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Item 4, frontmatter YAML</w:t>
            </w:r>
          </w:p>
        </w:tc>
        <w:tc>
          <w:tcPr>
            <w:tcW w:w="0" w:type="auto"/>
            <w:tcBorders>
              <w:bottom w:val="single" w:sz="6" w:space="0" w:color="C8CDD2"/>
            </w:tcBorders>
            <w:tcMar>
              <w:top w:w="100" w:type="dxa"/>
              <w:left w:w="120" w:type="dxa"/>
              <w:bottom w:w="100" w:type="dxa"/>
              <w:right w:w="120" w:type="dxa"/>
            </w:tcMar>
            <w:hideMark/>
          </w:tcPr>
          <w:p w14:paraId="7F37A78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w:t>
            </w:r>
          </w:p>
        </w:tc>
        <w:tc>
          <w:tcPr>
            <w:tcW w:w="0" w:type="auto"/>
            <w:tcBorders>
              <w:bottom w:val="single" w:sz="6" w:space="0" w:color="C8CDD2"/>
            </w:tcBorders>
            <w:tcMar>
              <w:top w:w="100" w:type="dxa"/>
              <w:left w:w="120" w:type="dxa"/>
              <w:bottom w:w="100" w:type="dxa"/>
              <w:right w:w="120" w:type="dxa"/>
            </w:tcMar>
            <w:hideMark/>
          </w:tcPr>
          <w:p w14:paraId="1521E7F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 FIX</w:t>
            </w:r>
          </w:p>
        </w:tc>
      </w:tr>
      <w:tr w:rsidR="00000000" w14:paraId="38713063" w14:textId="77777777">
        <w:trPr>
          <w:divId w:val="355160719"/>
        </w:trPr>
        <w:tc>
          <w:tcPr>
            <w:tcW w:w="0" w:type="auto"/>
            <w:tcBorders>
              <w:bottom w:val="single" w:sz="6" w:space="0" w:color="C8CDD2"/>
            </w:tcBorders>
            <w:tcMar>
              <w:top w:w="100" w:type="dxa"/>
              <w:left w:w="120" w:type="dxa"/>
              <w:bottom w:w="100" w:type="dxa"/>
              <w:right w:w="120" w:type="dxa"/>
            </w:tcMar>
            <w:hideMark/>
          </w:tcPr>
          <w:p w14:paraId="34B3D64D"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Item 1, idle rule</w:t>
            </w:r>
          </w:p>
        </w:tc>
        <w:tc>
          <w:tcPr>
            <w:tcW w:w="0" w:type="auto"/>
            <w:tcBorders>
              <w:bottom w:val="single" w:sz="6" w:space="0" w:color="C8CDD2"/>
            </w:tcBorders>
            <w:tcMar>
              <w:top w:w="100" w:type="dxa"/>
              <w:left w:w="120" w:type="dxa"/>
              <w:bottom w:w="100" w:type="dxa"/>
              <w:right w:w="120" w:type="dxa"/>
            </w:tcMar>
            <w:hideMark/>
          </w:tcPr>
          <w:p w14:paraId="72310C8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4</w:t>
            </w:r>
          </w:p>
        </w:tc>
        <w:tc>
          <w:tcPr>
            <w:tcW w:w="0" w:type="auto"/>
            <w:tcBorders>
              <w:bottom w:val="single" w:sz="6" w:space="0" w:color="C8CDD2"/>
            </w:tcBorders>
            <w:tcMar>
              <w:top w:w="100" w:type="dxa"/>
              <w:left w:w="120" w:type="dxa"/>
              <w:bottom w:w="100" w:type="dxa"/>
              <w:right w:w="120" w:type="dxa"/>
            </w:tcMar>
            <w:hideMark/>
          </w:tcPr>
          <w:p w14:paraId="5EBA9EF6"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15 FIX, 1 NIT</w:t>
            </w:r>
          </w:p>
        </w:tc>
      </w:tr>
      <w:tr w:rsidR="00000000" w14:paraId="1164D86F" w14:textId="77777777">
        <w:trPr>
          <w:divId w:val="355160719"/>
        </w:trPr>
        <w:tc>
          <w:tcPr>
            <w:tcW w:w="0" w:type="auto"/>
            <w:tcBorders>
              <w:bottom w:val="single" w:sz="6" w:space="0" w:color="C8CDD2"/>
            </w:tcBorders>
            <w:tcMar>
              <w:top w:w="100" w:type="dxa"/>
              <w:left w:w="120" w:type="dxa"/>
              <w:bottom w:w="100" w:type="dxa"/>
              <w:right w:w="120" w:type="dxa"/>
            </w:tcMar>
            <w:hideMark/>
          </w:tcPr>
          <w:p w14:paraId="695A2AD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Item 3, plugin evals</w:t>
            </w:r>
          </w:p>
        </w:tc>
        <w:tc>
          <w:tcPr>
            <w:tcW w:w="0" w:type="auto"/>
            <w:tcBorders>
              <w:bottom w:val="single" w:sz="6" w:space="0" w:color="C8CDD2"/>
            </w:tcBorders>
            <w:tcMar>
              <w:top w:w="100" w:type="dxa"/>
              <w:left w:w="120" w:type="dxa"/>
              <w:bottom w:w="100" w:type="dxa"/>
              <w:right w:w="120" w:type="dxa"/>
            </w:tcMar>
            <w:hideMark/>
          </w:tcPr>
          <w:p w14:paraId="4329807F"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7</w:t>
            </w:r>
          </w:p>
        </w:tc>
        <w:tc>
          <w:tcPr>
            <w:tcW w:w="0" w:type="auto"/>
            <w:tcBorders>
              <w:bottom w:val="single" w:sz="6" w:space="0" w:color="C8CDD2"/>
            </w:tcBorders>
            <w:tcMar>
              <w:top w:w="100" w:type="dxa"/>
              <w:left w:w="120" w:type="dxa"/>
              <w:bottom w:w="100" w:type="dxa"/>
              <w:right w:w="120" w:type="dxa"/>
            </w:tcMar>
            <w:hideMark/>
          </w:tcPr>
          <w:p w14:paraId="2A33698C"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 BLOCK, 33 FIX, 2 NIT</w:t>
            </w:r>
          </w:p>
        </w:tc>
      </w:tr>
      <w:tr w:rsidR="00000000" w14:paraId="4D25A700" w14:textId="77777777">
        <w:trPr>
          <w:divId w:val="355160719"/>
        </w:trPr>
        <w:tc>
          <w:tcPr>
            <w:tcW w:w="0" w:type="auto"/>
            <w:tcBorders>
              <w:bottom w:val="single" w:sz="6" w:space="0" w:color="C8CDD2"/>
            </w:tcBorders>
            <w:tcMar>
              <w:top w:w="100" w:type="dxa"/>
              <w:left w:w="120" w:type="dxa"/>
              <w:bottom w:w="100" w:type="dxa"/>
              <w:right w:w="120" w:type="dxa"/>
            </w:tcMar>
            <w:hideMark/>
          </w:tcPr>
          <w:p w14:paraId="64CFD31E"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Item 2, write guard</w:t>
            </w:r>
          </w:p>
        </w:tc>
        <w:tc>
          <w:tcPr>
            <w:tcW w:w="0" w:type="auto"/>
            <w:tcBorders>
              <w:bottom w:val="single" w:sz="6" w:space="0" w:color="C8CDD2"/>
            </w:tcBorders>
            <w:tcMar>
              <w:top w:w="100" w:type="dxa"/>
              <w:left w:w="120" w:type="dxa"/>
              <w:bottom w:w="100" w:type="dxa"/>
              <w:right w:w="120" w:type="dxa"/>
            </w:tcMar>
            <w:hideMark/>
          </w:tcPr>
          <w:p w14:paraId="13E319F7"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6 + specialist</w:t>
            </w:r>
          </w:p>
        </w:tc>
        <w:tc>
          <w:tcPr>
            <w:tcW w:w="0" w:type="auto"/>
            <w:tcBorders>
              <w:bottom w:val="single" w:sz="6" w:space="0" w:color="C8CDD2"/>
            </w:tcBorders>
            <w:tcMar>
              <w:top w:w="100" w:type="dxa"/>
              <w:left w:w="120" w:type="dxa"/>
              <w:bottom w:w="100" w:type="dxa"/>
              <w:right w:w="120" w:type="dxa"/>
            </w:tcMar>
            <w:hideMark/>
          </w:tcPr>
          <w:p w14:paraId="0A67DA12"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14 BLOCK, 9 FIX</w:t>
            </w:r>
          </w:p>
        </w:tc>
      </w:tr>
      <w:tr w:rsidR="00000000" w14:paraId="4C5747C3" w14:textId="77777777">
        <w:trPr>
          <w:divId w:val="355160719"/>
        </w:trPr>
        <w:tc>
          <w:tcPr>
            <w:tcW w:w="0" w:type="auto"/>
            <w:tcBorders>
              <w:bottom w:val="single" w:sz="6" w:space="0" w:color="C8CDD2"/>
            </w:tcBorders>
            <w:tcMar>
              <w:top w:w="100" w:type="dxa"/>
              <w:left w:w="120" w:type="dxa"/>
              <w:bottom w:w="100" w:type="dxa"/>
              <w:right w:w="120" w:type="dxa"/>
            </w:tcMar>
            <w:hideMark/>
          </w:tcPr>
          <w:p w14:paraId="38848943"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Item 7, agent examples</w:t>
            </w:r>
          </w:p>
        </w:tc>
        <w:tc>
          <w:tcPr>
            <w:tcW w:w="0" w:type="auto"/>
            <w:tcBorders>
              <w:bottom w:val="single" w:sz="6" w:space="0" w:color="C8CDD2"/>
            </w:tcBorders>
            <w:tcMar>
              <w:top w:w="100" w:type="dxa"/>
              <w:left w:w="120" w:type="dxa"/>
              <w:bottom w:w="100" w:type="dxa"/>
              <w:right w:w="120" w:type="dxa"/>
            </w:tcMar>
            <w:hideMark/>
          </w:tcPr>
          <w:p w14:paraId="4F929625"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bottom w:val="single" w:sz="6" w:space="0" w:color="C8CDD2"/>
            </w:tcBorders>
            <w:tcMar>
              <w:top w:w="100" w:type="dxa"/>
              <w:left w:w="120" w:type="dxa"/>
              <w:bottom w:w="100" w:type="dxa"/>
              <w:right w:w="120" w:type="dxa"/>
            </w:tcMar>
            <w:hideMark/>
          </w:tcPr>
          <w:p w14:paraId="4596FC3B"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4 FIX</w:t>
            </w:r>
          </w:p>
        </w:tc>
      </w:tr>
      <w:tr w:rsidR="00000000" w14:paraId="08EA4682" w14:textId="77777777">
        <w:trPr>
          <w:divId w:val="355160719"/>
        </w:trPr>
        <w:tc>
          <w:tcPr>
            <w:tcW w:w="0" w:type="auto"/>
            <w:tcBorders>
              <w:bottom w:val="single" w:sz="6" w:space="0" w:color="C8CDD2"/>
            </w:tcBorders>
            <w:tcMar>
              <w:top w:w="100" w:type="dxa"/>
              <w:left w:w="120" w:type="dxa"/>
              <w:bottom w:w="100" w:type="dxa"/>
              <w:right w:w="120" w:type="dxa"/>
            </w:tcMar>
            <w:hideMark/>
          </w:tcPr>
          <w:p w14:paraId="4B68E5FF"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Stop gate</w:t>
            </w:r>
          </w:p>
        </w:tc>
        <w:tc>
          <w:tcPr>
            <w:tcW w:w="0" w:type="auto"/>
            <w:tcBorders>
              <w:bottom w:val="single" w:sz="6" w:space="0" w:color="C8CDD2"/>
            </w:tcBorders>
            <w:tcMar>
              <w:top w:w="100" w:type="dxa"/>
              <w:left w:w="120" w:type="dxa"/>
              <w:bottom w:w="100" w:type="dxa"/>
              <w:right w:w="120" w:type="dxa"/>
            </w:tcMar>
            <w:hideMark/>
          </w:tcPr>
          <w:p w14:paraId="124C3F8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8 + specialist</w:t>
            </w:r>
          </w:p>
        </w:tc>
        <w:tc>
          <w:tcPr>
            <w:tcW w:w="0" w:type="auto"/>
            <w:tcBorders>
              <w:bottom w:val="single" w:sz="6" w:space="0" w:color="C8CDD2"/>
            </w:tcBorders>
            <w:tcMar>
              <w:top w:w="100" w:type="dxa"/>
              <w:left w:w="120" w:type="dxa"/>
              <w:bottom w:w="100" w:type="dxa"/>
              <w:right w:w="120" w:type="dxa"/>
            </w:tcMar>
            <w:hideMark/>
          </w:tcPr>
          <w:p w14:paraId="122DFA5C"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23 BLOCK, 16 FIX, 1 NIT</w:t>
            </w:r>
          </w:p>
        </w:tc>
      </w:tr>
      <w:tr w:rsidR="00000000" w14:paraId="26BF0925" w14:textId="77777777">
        <w:trPr>
          <w:divId w:val="355160719"/>
        </w:trPr>
        <w:tc>
          <w:tcPr>
            <w:tcW w:w="0" w:type="auto"/>
            <w:tcBorders>
              <w:bottom w:val="single" w:sz="6" w:space="0" w:color="C8CDD2"/>
            </w:tcBorders>
            <w:tcMar>
              <w:top w:w="100" w:type="dxa"/>
              <w:left w:w="120" w:type="dxa"/>
              <w:bottom w:w="100" w:type="dxa"/>
              <w:right w:w="120" w:type="dxa"/>
            </w:tcMar>
            <w:hideMark/>
          </w:tcPr>
          <w:p w14:paraId="1E9FADB7"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T-0003, scope base</w:t>
            </w:r>
          </w:p>
        </w:tc>
        <w:tc>
          <w:tcPr>
            <w:tcW w:w="0" w:type="auto"/>
            <w:tcBorders>
              <w:bottom w:val="single" w:sz="6" w:space="0" w:color="C8CDD2"/>
            </w:tcBorders>
            <w:tcMar>
              <w:top w:w="100" w:type="dxa"/>
              <w:left w:w="120" w:type="dxa"/>
              <w:bottom w:w="100" w:type="dxa"/>
              <w:right w:w="120" w:type="dxa"/>
            </w:tcMar>
            <w:hideMark/>
          </w:tcPr>
          <w:p w14:paraId="6ED7F9B4"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w:t>
            </w:r>
          </w:p>
        </w:tc>
        <w:tc>
          <w:tcPr>
            <w:tcW w:w="0" w:type="auto"/>
            <w:tcBorders>
              <w:bottom w:val="single" w:sz="6" w:space="0" w:color="C8CDD2"/>
            </w:tcBorders>
            <w:tcMar>
              <w:top w:w="100" w:type="dxa"/>
              <w:left w:w="120" w:type="dxa"/>
              <w:bottom w:w="100" w:type="dxa"/>
              <w:right w:w="120" w:type="dxa"/>
            </w:tcMar>
            <w:hideMark/>
          </w:tcPr>
          <w:p w14:paraId="6E935F6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7 FIX</w:t>
            </w:r>
          </w:p>
        </w:tc>
      </w:tr>
    </w:tbl>
    <w:p w14:paraId="09CEA27E" w14:textId="77777777" w:rsidR="001D255B" w:rsidRDefault="001D255B">
      <w:pPr>
        <w:pStyle w:val="NormalWeb"/>
        <w:ind w:left="1134" w:right="1134"/>
        <w:divId w:val="355160719"/>
        <w:rPr>
          <w:rFonts w:ascii="Calibri" w:hAnsi="Calibri" w:cs="Calibri"/>
          <w:color w:val="1A1A1A"/>
          <w:sz w:val="22"/>
          <w:szCs w:val="22"/>
          <w:lang w:val="en"/>
        </w:rPr>
      </w:pPr>
      <w:r>
        <w:rPr>
          <w:rFonts w:ascii="Calibri" w:hAnsi="Calibri" w:cs="Calibri"/>
          <w:color w:val="1A1A1A"/>
          <w:sz w:val="22"/>
          <w:szCs w:val="22"/>
          <w:lang w:val="en"/>
        </w:rPr>
        <w:t>51 review rows were written in two days: 48 BLOCK and 112 FIX findings, every one fixed with a test and sabotage-checked before merge. Two rules earned their keep: an unknown never collapses into the safe-looking value, and a check must fail on the null response. Items 2 and 3 spent most of their rounds on exactly those.</w:t>
      </w:r>
    </w:p>
    <w:p w14:paraId="573C6B47" w14:textId="77777777" w:rsidR="001D255B" w:rsidRDefault="001D255B">
      <w:pPr>
        <w:pStyle w:val="Heading2"/>
        <w:ind w:left="1134" w:right="1134"/>
        <w:divId w:val="355160719"/>
        <w:rPr>
          <w:rFonts w:ascii="Calibri" w:eastAsia="Times New Roman" w:hAnsi="Calibri" w:cs="Calibri"/>
          <w:lang w:val="en"/>
        </w:rPr>
      </w:pPr>
      <w:r>
        <w:rPr>
          <w:rFonts w:ascii="Calibri" w:eastAsia="Times New Roman" w:hAnsi="Calibri" w:cs="Calibri"/>
          <w:lang w:val="en"/>
        </w:rPr>
        <w:t>4. One month ago versus now</w:t>
      </w:r>
    </w:p>
    <w:tbl>
      <w:tblPr>
        <w:tblW w:w="5000" w:type="pct"/>
        <w:tblCellMar>
          <w:top w:w="15" w:type="dxa"/>
          <w:left w:w="15" w:type="dxa"/>
          <w:bottom w:w="15" w:type="dxa"/>
          <w:right w:w="15" w:type="dxa"/>
        </w:tblCellMar>
        <w:tblLook w:val="04A0" w:firstRow="1" w:lastRow="0" w:firstColumn="1" w:lastColumn="0" w:noHBand="0" w:noVBand="1"/>
      </w:tblPr>
      <w:tblGrid>
        <w:gridCol w:w="2098"/>
        <w:gridCol w:w="2549"/>
        <w:gridCol w:w="4713"/>
      </w:tblGrid>
      <w:tr w:rsidR="00000000" w14:paraId="52214B64" w14:textId="77777777">
        <w:trPr>
          <w:divId w:val="355160719"/>
        </w:trPr>
        <w:tc>
          <w:tcPr>
            <w:tcW w:w="0" w:type="auto"/>
            <w:shd w:val="clear" w:color="auto" w:fill="1F4E79"/>
            <w:tcMar>
              <w:top w:w="100" w:type="dxa"/>
              <w:left w:w="120" w:type="dxa"/>
              <w:bottom w:w="100" w:type="dxa"/>
              <w:right w:w="120" w:type="dxa"/>
            </w:tcMar>
            <w:vAlign w:val="center"/>
            <w:hideMark/>
          </w:tcPr>
          <w:p w14:paraId="43EC62C7"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Measure</w:t>
            </w:r>
          </w:p>
        </w:tc>
        <w:tc>
          <w:tcPr>
            <w:tcW w:w="0" w:type="auto"/>
            <w:shd w:val="clear" w:color="auto" w:fill="1F4E79"/>
            <w:tcMar>
              <w:top w:w="100" w:type="dxa"/>
              <w:left w:w="120" w:type="dxa"/>
              <w:bottom w:w="100" w:type="dxa"/>
              <w:right w:w="120" w:type="dxa"/>
            </w:tcMar>
            <w:vAlign w:val="center"/>
            <w:hideMark/>
          </w:tcPr>
          <w:p w14:paraId="5E9639EB"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19 August 2026</w:t>
            </w:r>
          </w:p>
        </w:tc>
        <w:tc>
          <w:tcPr>
            <w:tcW w:w="0" w:type="auto"/>
            <w:shd w:val="clear" w:color="auto" w:fill="1F4E79"/>
            <w:tcMar>
              <w:top w:w="100" w:type="dxa"/>
              <w:left w:w="120" w:type="dxa"/>
              <w:bottom w:w="100" w:type="dxa"/>
              <w:right w:w="120" w:type="dxa"/>
            </w:tcMar>
            <w:vAlign w:val="center"/>
            <w:hideMark/>
          </w:tcPr>
          <w:p w14:paraId="4438CD1B" w14:textId="77777777" w:rsidR="001D255B" w:rsidRDefault="001D255B">
            <w:pPr>
              <w:spacing w:before="160" w:after="240"/>
              <w:rPr>
                <w:rFonts w:ascii="Calibri" w:eastAsia="Times New Roman" w:hAnsi="Calibri" w:cs="Calibri"/>
                <w:b/>
                <w:bCs/>
                <w:color w:val="FFFFFF"/>
                <w:sz w:val="20"/>
                <w:szCs w:val="20"/>
              </w:rPr>
            </w:pPr>
            <w:r>
              <w:rPr>
                <w:rFonts w:ascii="Calibri" w:eastAsia="Times New Roman" w:hAnsi="Calibri" w:cs="Calibri"/>
                <w:b/>
                <w:bCs/>
                <w:color w:val="FFFFFF"/>
                <w:sz w:val="20"/>
                <w:szCs w:val="20"/>
              </w:rPr>
              <w:t>20 September 2026</w:t>
            </w:r>
          </w:p>
        </w:tc>
      </w:tr>
      <w:tr w:rsidR="00000000" w14:paraId="7DFB40BA" w14:textId="77777777">
        <w:trPr>
          <w:divId w:val="355160719"/>
        </w:trPr>
        <w:tc>
          <w:tcPr>
            <w:tcW w:w="0" w:type="auto"/>
            <w:tcBorders>
              <w:bottom w:val="single" w:sz="6" w:space="0" w:color="C8CDD2"/>
            </w:tcBorders>
            <w:tcMar>
              <w:top w:w="100" w:type="dxa"/>
              <w:left w:w="120" w:type="dxa"/>
              <w:bottom w:w="100" w:type="dxa"/>
              <w:right w:w="120" w:type="dxa"/>
            </w:tcMar>
            <w:hideMark/>
          </w:tcPr>
          <w:p w14:paraId="62561936"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Commits on main since</w:t>
            </w:r>
          </w:p>
        </w:tc>
        <w:tc>
          <w:tcPr>
            <w:tcW w:w="0" w:type="auto"/>
            <w:gridSpan w:val="2"/>
            <w:tcBorders>
              <w:bottom w:val="single" w:sz="6" w:space="0" w:color="C8CDD2"/>
            </w:tcBorders>
            <w:tcMar>
              <w:top w:w="100" w:type="dxa"/>
              <w:left w:w="120" w:type="dxa"/>
              <w:bottom w:w="100" w:type="dxa"/>
              <w:right w:w="120" w:type="dxa"/>
            </w:tcMar>
            <w:hideMark/>
          </w:tcPr>
          <w:p w14:paraId="1C121D5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615, across 164 merged pull requests</w:t>
            </w:r>
          </w:p>
        </w:tc>
      </w:tr>
      <w:tr w:rsidR="00000000" w14:paraId="4DB26591" w14:textId="77777777">
        <w:trPr>
          <w:divId w:val="355160719"/>
        </w:trPr>
        <w:tc>
          <w:tcPr>
            <w:tcW w:w="0" w:type="auto"/>
            <w:tcBorders>
              <w:bottom w:val="single" w:sz="6" w:space="0" w:color="C8CDD2"/>
            </w:tcBorders>
            <w:tcMar>
              <w:top w:w="100" w:type="dxa"/>
              <w:left w:w="120" w:type="dxa"/>
              <w:bottom w:w="100" w:type="dxa"/>
              <w:right w:w="120" w:type="dxa"/>
            </w:tcMar>
            <w:hideMark/>
          </w:tcPr>
          <w:p w14:paraId="2AEF2864"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Marketplace entries</w:t>
            </w:r>
          </w:p>
        </w:tc>
        <w:tc>
          <w:tcPr>
            <w:tcW w:w="0" w:type="auto"/>
            <w:tcBorders>
              <w:bottom w:val="single" w:sz="6" w:space="0" w:color="C8CDD2"/>
            </w:tcBorders>
            <w:tcMar>
              <w:top w:w="100" w:type="dxa"/>
              <w:left w:w="120" w:type="dxa"/>
              <w:bottom w:w="100" w:type="dxa"/>
              <w:right w:w="120" w:type="dxa"/>
            </w:tcMar>
            <w:hideMark/>
          </w:tcPr>
          <w:p w14:paraId="33ED51E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25</w:t>
            </w:r>
          </w:p>
        </w:tc>
        <w:tc>
          <w:tcPr>
            <w:tcW w:w="0" w:type="auto"/>
            <w:tcBorders>
              <w:bottom w:val="single" w:sz="6" w:space="0" w:color="C8CDD2"/>
            </w:tcBorders>
            <w:tcMar>
              <w:top w:w="100" w:type="dxa"/>
              <w:left w:w="120" w:type="dxa"/>
              <w:bottom w:w="100" w:type="dxa"/>
              <w:right w:w="120" w:type="dxa"/>
            </w:tcMar>
            <w:hideMark/>
          </w:tcPr>
          <w:p w14:paraId="326AFE81"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41</w:t>
            </w:r>
          </w:p>
        </w:tc>
      </w:tr>
      <w:tr w:rsidR="00000000" w14:paraId="7190111C" w14:textId="77777777">
        <w:trPr>
          <w:divId w:val="355160719"/>
        </w:trPr>
        <w:tc>
          <w:tcPr>
            <w:tcW w:w="0" w:type="auto"/>
            <w:tcBorders>
              <w:bottom w:val="single" w:sz="6" w:space="0" w:color="C8CDD2"/>
            </w:tcBorders>
            <w:tcMar>
              <w:top w:w="100" w:type="dxa"/>
              <w:left w:w="120" w:type="dxa"/>
              <w:bottom w:w="100" w:type="dxa"/>
              <w:right w:w="120" w:type="dxa"/>
            </w:tcMar>
            <w:hideMark/>
          </w:tcPr>
          <w:p w14:paraId="4FEF493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Skills directories</w:t>
            </w:r>
          </w:p>
        </w:tc>
        <w:tc>
          <w:tcPr>
            <w:tcW w:w="0" w:type="auto"/>
            <w:tcBorders>
              <w:bottom w:val="single" w:sz="6" w:space="0" w:color="C8CDD2"/>
            </w:tcBorders>
            <w:tcMar>
              <w:top w:w="100" w:type="dxa"/>
              <w:left w:w="120" w:type="dxa"/>
              <w:bottom w:w="100" w:type="dxa"/>
              <w:right w:w="120" w:type="dxa"/>
            </w:tcMar>
            <w:hideMark/>
          </w:tcPr>
          <w:p w14:paraId="29D7844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25</w:t>
            </w:r>
          </w:p>
        </w:tc>
        <w:tc>
          <w:tcPr>
            <w:tcW w:w="0" w:type="auto"/>
            <w:tcBorders>
              <w:bottom w:val="single" w:sz="6" w:space="0" w:color="C8CDD2"/>
            </w:tcBorders>
            <w:tcMar>
              <w:top w:w="100" w:type="dxa"/>
              <w:left w:w="120" w:type="dxa"/>
              <w:bottom w:w="100" w:type="dxa"/>
              <w:right w:w="120" w:type="dxa"/>
            </w:tcMar>
            <w:hideMark/>
          </w:tcPr>
          <w:p w14:paraId="4BFADA2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36</w:t>
            </w:r>
          </w:p>
        </w:tc>
      </w:tr>
      <w:tr w:rsidR="00000000" w14:paraId="0304B678" w14:textId="77777777">
        <w:trPr>
          <w:divId w:val="355160719"/>
        </w:trPr>
        <w:tc>
          <w:tcPr>
            <w:tcW w:w="0" w:type="auto"/>
            <w:tcBorders>
              <w:bottom w:val="single" w:sz="6" w:space="0" w:color="C8CDD2"/>
            </w:tcBorders>
            <w:tcMar>
              <w:top w:w="100" w:type="dxa"/>
              <w:left w:w="120" w:type="dxa"/>
              <w:bottom w:w="100" w:type="dxa"/>
              <w:right w:w="120" w:type="dxa"/>
            </w:tcMar>
            <w:hideMark/>
          </w:tcPr>
          <w:p w14:paraId="3EED648B"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 xml:space="preserve">Plugins under </w:t>
            </w:r>
            <w:r>
              <w:rPr>
                <w:rStyle w:val="HTMLCode"/>
                <w:color w:val="1A1A1A"/>
              </w:rPr>
              <w:t>plugin/</w:t>
            </w:r>
          </w:p>
        </w:tc>
        <w:tc>
          <w:tcPr>
            <w:tcW w:w="0" w:type="auto"/>
            <w:tcBorders>
              <w:bottom w:val="single" w:sz="6" w:space="0" w:color="C8CDD2"/>
            </w:tcBorders>
            <w:tcMar>
              <w:top w:w="100" w:type="dxa"/>
              <w:left w:w="120" w:type="dxa"/>
              <w:bottom w:w="100" w:type="dxa"/>
              <w:right w:w="120" w:type="dxa"/>
            </w:tcMar>
            <w:hideMark/>
          </w:tcPr>
          <w:p w14:paraId="34370EA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none (directory did not exist)</w:t>
            </w:r>
          </w:p>
        </w:tc>
        <w:tc>
          <w:tcPr>
            <w:tcW w:w="0" w:type="auto"/>
            <w:tcBorders>
              <w:bottom w:val="single" w:sz="6" w:space="0" w:color="C8CDD2"/>
            </w:tcBorders>
            <w:tcMar>
              <w:top w:w="100" w:type="dxa"/>
              <w:left w:w="120" w:type="dxa"/>
              <w:bottom w:w="100" w:type="dxa"/>
              <w:right w:w="120" w:type="dxa"/>
            </w:tcMar>
            <w:hideMark/>
          </w:tcPr>
          <w:p w14:paraId="3F38D9B4"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5: crew, gizmoduck, localgpu, obsidian-vault, rule-of-two</w:t>
            </w:r>
          </w:p>
        </w:tc>
      </w:tr>
      <w:tr w:rsidR="00000000" w14:paraId="1283B446" w14:textId="77777777">
        <w:trPr>
          <w:divId w:val="355160719"/>
        </w:trPr>
        <w:tc>
          <w:tcPr>
            <w:tcW w:w="0" w:type="auto"/>
            <w:tcBorders>
              <w:bottom w:val="single" w:sz="6" w:space="0" w:color="C8CDD2"/>
            </w:tcBorders>
            <w:tcMar>
              <w:top w:w="100" w:type="dxa"/>
              <w:left w:w="120" w:type="dxa"/>
              <w:bottom w:w="100" w:type="dxa"/>
              <w:right w:w="120" w:type="dxa"/>
            </w:tcMar>
            <w:hideMark/>
          </w:tcPr>
          <w:p w14:paraId="66D8D88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Crew agents</w:t>
            </w:r>
          </w:p>
        </w:tc>
        <w:tc>
          <w:tcPr>
            <w:tcW w:w="0" w:type="auto"/>
            <w:tcBorders>
              <w:bottom w:val="single" w:sz="6" w:space="0" w:color="C8CDD2"/>
            </w:tcBorders>
            <w:tcMar>
              <w:top w:w="100" w:type="dxa"/>
              <w:left w:w="120" w:type="dxa"/>
              <w:bottom w:w="100" w:type="dxa"/>
              <w:right w:w="120" w:type="dxa"/>
            </w:tcMar>
            <w:hideMark/>
          </w:tcPr>
          <w:p w14:paraId="27F7C96E"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w:t>
            </w:r>
          </w:p>
        </w:tc>
        <w:tc>
          <w:tcPr>
            <w:tcW w:w="0" w:type="auto"/>
            <w:tcBorders>
              <w:bottom w:val="single" w:sz="6" w:space="0" w:color="C8CDD2"/>
            </w:tcBorders>
            <w:tcMar>
              <w:top w:w="100" w:type="dxa"/>
              <w:left w:w="120" w:type="dxa"/>
              <w:bottom w:w="100" w:type="dxa"/>
              <w:right w:w="120" w:type="dxa"/>
            </w:tcMar>
            <w:hideMark/>
          </w:tcPr>
          <w:p w14:paraId="67F73A47"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54</w:t>
            </w:r>
          </w:p>
        </w:tc>
      </w:tr>
      <w:tr w:rsidR="00000000" w14:paraId="4B022378" w14:textId="77777777">
        <w:trPr>
          <w:divId w:val="355160719"/>
        </w:trPr>
        <w:tc>
          <w:tcPr>
            <w:tcW w:w="0" w:type="auto"/>
            <w:tcBorders>
              <w:bottom w:val="single" w:sz="6" w:space="0" w:color="C8CDD2"/>
            </w:tcBorders>
            <w:tcMar>
              <w:top w:w="100" w:type="dxa"/>
              <w:left w:w="120" w:type="dxa"/>
              <w:bottom w:w="100" w:type="dxa"/>
              <w:right w:w="120" w:type="dxa"/>
            </w:tcMar>
            <w:hideMark/>
          </w:tcPr>
          <w:p w14:paraId="61A7AC4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Crew commands</w:t>
            </w:r>
          </w:p>
        </w:tc>
        <w:tc>
          <w:tcPr>
            <w:tcW w:w="0" w:type="auto"/>
            <w:tcBorders>
              <w:bottom w:val="single" w:sz="6" w:space="0" w:color="C8CDD2"/>
            </w:tcBorders>
            <w:tcMar>
              <w:top w:w="100" w:type="dxa"/>
              <w:left w:w="120" w:type="dxa"/>
              <w:bottom w:w="100" w:type="dxa"/>
              <w:right w:w="120" w:type="dxa"/>
            </w:tcMar>
            <w:hideMark/>
          </w:tcPr>
          <w:p w14:paraId="7889319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w:t>
            </w:r>
          </w:p>
        </w:tc>
        <w:tc>
          <w:tcPr>
            <w:tcW w:w="0" w:type="auto"/>
            <w:tcBorders>
              <w:bottom w:val="single" w:sz="6" w:space="0" w:color="C8CDD2"/>
            </w:tcBorders>
            <w:tcMar>
              <w:top w:w="100" w:type="dxa"/>
              <w:left w:w="120" w:type="dxa"/>
              <w:bottom w:w="100" w:type="dxa"/>
              <w:right w:w="120" w:type="dxa"/>
            </w:tcMar>
            <w:hideMark/>
          </w:tcPr>
          <w:p w14:paraId="4240CCEB"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28</w:t>
            </w:r>
          </w:p>
        </w:tc>
      </w:tr>
      <w:tr w:rsidR="00000000" w14:paraId="315E93D1" w14:textId="77777777">
        <w:trPr>
          <w:divId w:val="355160719"/>
        </w:trPr>
        <w:tc>
          <w:tcPr>
            <w:tcW w:w="0" w:type="auto"/>
            <w:tcBorders>
              <w:bottom w:val="single" w:sz="6" w:space="0" w:color="C8CDD2"/>
            </w:tcBorders>
            <w:tcMar>
              <w:top w:w="100" w:type="dxa"/>
              <w:left w:w="120" w:type="dxa"/>
              <w:bottom w:w="100" w:type="dxa"/>
              <w:right w:w="120" w:type="dxa"/>
            </w:tcMar>
            <w:hideMark/>
          </w:tcPr>
          <w:p w14:paraId="2C17931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Crew skills</w:t>
            </w:r>
          </w:p>
        </w:tc>
        <w:tc>
          <w:tcPr>
            <w:tcW w:w="0" w:type="auto"/>
            <w:tcBorders>
              <w:bottom w:val="single" w:sz="6" w:space="0" w:color="C8CDD2"/>
            </w:tcBorders>
            <w:tcMar>
              <w:top w:w="100" w:type="dxa"/>
              <w:left w:w="120" w:type="dxa"/>
              <w:bottom w:w="100" w:type="dxa"/>
              <w:right w:w="120" w:type="dxa"/>
            </w:tcMar>
            <w:hideMark/>
          </w:tcPr>
          <w:p w14:paraId="1F73247D"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w:t>
            </w:r>
          </w:p>
        </w:tc>
        <w:tc>
          <w:tcPr>
            <w:tcW w:w="0" w:type="auto"/>
            <w:tcBorders>
              <w:bottom w:val="single" w:sz="6" w:space="0" w:color="C8CDD2"/>
            </w:tcBorders>
            <w:tcMar>
              <w:top w:w="100" w:type="dxa"/>
              <w:left w:w="120" w:type="dxa"/>
              <w:bottom w:w="100" w:type="dxa"/>
              <w:right w:w="120" w:type="dxa"/>
            </w:tcMar>
            <w:hideMark/>
          </w:tcPr>
          <w:p w14:paraId="1F4B934C"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20</w:t>
            </w:r>
          </w:p>
        </w:tc>
      </w:tr>
      <w:tr w:rsidR="00000000" w14:paraId="532811AB" w14:textId="77777777">
        <w:trPr>
          <w:divId w:val="355160719"/>
        </w:trPr>
        <w:tc>
          <w:tcPr>
            <w:tcW w:w="0" w:type="auto"/>
            <w:tcBorders>
              <w:bottom w:val="single" w:sz="6" w:space="0" w:color="C8CDD2"/>
            </w:tcBorders>
            <w:tcMar>
              <w:top w:w="100" w:type="dxa"/>
              <w:left w:w="120" w:type="dxa"/>
              <w:bottom w:w="100" w:type="dxa"/>
              <w:right w:w="120" w:type="dxa"/>
            </w:tcMar>
            <w:hideMark/>
          </w:tcPr>
          <w:p w14:paraId="14597E2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Crew test modules</w:t>
            </w:r>
          </w:p>
        </w:tc>
        <w:tc>
          <w:tcPr>
            <w:tcW w:w="0" w:type="auto"/>
            <w:tcBorders>
              <w:bottom w:val="single" w:sz="6" w:space="0" w:color="C8CDD2"/>
            </w:tcBorders>
            <w:tcMar>
              <w:top w:w="100" w:type="dxa"/>
              <w:left w:w="120" w:type="dxa"/>
              <w:bottom w:w="100" w:type="dxa"/>
              <w:right w:w="120" w:type="dxa"/>
            </w:tcMar>
            <w:hideMark/>
          </w:tcPr>
          <w:p w14:paraId="4849BE7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w:t>
            </w:r>
          </w:p>
        </w:tc>
        <w:tc>
          <w:tcPr>
            <w:tcW w:w="0" w:type="auto"/>
            <w:tcBorders>
              <w:bottom w:val="single" w:sz="6" w:space="0" w:color="C8CDD2"/>
            </w:tcBorders>
            <w:tcMar>
              <w:top w:w="100" w:type="dxa"/>
              <w:left w:w="120" w:type="dxa"/>
              <w:bottom w:w="100" w:type="dxa"/>
              <w:right w:w="120" w:type="dxa"/>
            </w:tcMar>
            <w:hideMark/>
          </w:tcPr>
          <w:p w14:paraId="501BBCD5"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53</w:t>
            </w:r>
          </w:p>
        </w:tc>
      </w:tr>
      <w:tr w:rsidR="00000000" w14:paraId="4DBCF1A1" w14:textId="77777777">
        <w:trPr>
          <w:divId w:val="355160719"/>
        </w:trPr>
        <w:tc>
          <w:tcPr>
            <w:tcW w:w="0" w:type="auto"/>
            <w:tcBorders>
              <w:bottom w:val="single" w:sz="6" w:space="0" w:color="C8CDD2"/>
            </w:tcBorders>
            <w:tcMar>
              <w:top w:w="100" w:type="dxa"/>
              <w:left w:w="120" w:type="dxa"/>
              <w:bottom w:w="100" w:type="dxa"/>
              <w:right w:w="120" w:type="dxa"/>
            </w:tcMar>
            <w:hideMark/>
          </w:tcPr>
          <w:p w14:paraId="433AA23D"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Crew hook scripts</w:t>
            </w:r>
          </w:p>
        </w:tc>
        <w:tc>
          <w:tcPr>
            <w:tcW w:w="0" w:type="auto"/>
            <w:tcBorders>
              <w:bottom w:val="single" w:sz="6" w:space="0" w:color="C8CDD2"/>
            </w:tcBorders>
            <w:tcMar>
              <w:top w:w="100" w:type="dxa"/>
              <w:left w:w="120" w:type="dxa"/>
              <w:bottom w:w="100" w:type="dxa"/>
              <w:right w:w="120" w:type="dxa"/>
            </w:tcMar>
            <w:hideMark/>
          </w:tcPr>
          <w:p w14:paraId="3B6EE53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w:t>
            </w:r>
          </w:p>
        </w:tc>
        <w:tc>
          <w:tcPr>
            <w:tcW w:w="0" w:type="auto"/>
            <w:tcBorders>
              <w:bottom w:val="single" w:sz="6" w:space="0" w:color="C8CDD2"/>
            </w:tcBorders>
            <w:tcMar>
              <w:top w:w="100" w:type="dxa"/>
              <w:left w:w="120" w:type="dxa"/>
              <w:bottom w:w="100" w:type="dxa"/>
              <w:right w:w="120" w:type="dxa"/>
            </w:tcMar>
            <w:hideMark/>
          </w:tcPr>
          <w:p w14:paraId="285B32EA"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43</w:t>
            </w:r>
          </w:p>
        </w:tc>
      </w:tr>
      <w:tr w:rsidR="00000000" w14:paraId="5F6A3B6E" w14:textId="77777777">
        <w:trPr>
          <w:divId w:val="355160719"/>
        </w:trPr>
        <w:tc>
          <w:tcPr>
            <w:tcW w:w="0" w:type="auto"/>
            <w:tcBorders>
              <w:bottom w:val="single" w:sz="6" w:space="0" w:color="C8CDD2"/>
            </w:tcBorders>
            <w:tcMar>
              <w:top w:w="100" w:type="dxa"/>
              <w:left w:w="120" w:type="dxa"/>
              <w:bottom w:w="100" w:type="dxa"/>
              <w:right w:w="120" w:type="dxa"/>
            </w:tcMar>
            <w:hideMark/>
          </w:tcPr>
          <w:p w14:paraId="648E9749"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Crew version</w:t>
            </w:r>
          </w:p>
        </w:tc>
        <w:tc>
          <w:tcPr>
            <w:tcW w:w="0" w:type="auto"/>
            <w:tcBorders>
              <w:bottom w:val="single" w:sz="6" w:space="0" w:color="C8CDD2"/>
            </w:tcBorders>
            <w:tcMar>
              <w:top w:w="100" w:type="dxa"/>
              <w:left w:w="120" w:type="dxa"/>
              <w:bottom w:w="100" w:type="dxa"/>
              <w:right w:w="120" w:type="dxa"/>
            </w:tcMar>
            <w:hideMark/>
          </w:tcPr>
          <w:p w14:paraId="4D4EB7A4"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none</w:t>
            </w:r>
          </w:p>
        </w:tc>
        <w:tc>
          <w:tcPr>
            <w:tcW w:w="0" w:type="auto"/>
            <w:tcBorders>
              <w:bottom w:val="single" w:sz="6" w:space="0" w:color="C8CDD2"/>
            </w:tcBorders>
            <w:tcMar>
              <w:top w:w="100" w:type="dxa"/>
              <w:left w:w="120" w:type="dxa"/>
              <w:bottom w:w="100" w:type="dxa"/>
              <w:right w:w="120" w:type="dxa"/>
            </w:tcMar>
            <w:hideMark/>
          </w:tcPr>
          <w:p w14:paraId="5FE7EC89"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0.19.94</w:t>
            </w:r>
          </w:p>
        </w:tc>
      </w:tr>
      <w:tr w:rsidR="00000000" w14:paraId="276F13EB" w14:textId="77777777">
        <w:trPr>
          <w:divId w:val="355160719"/>
        </w:trPr>
        <w:tc>
          <w:tcPr>
            <w:tcW w:w="0" w:type="auto"/>
            <w:tcBorders>
              <w:bottom w:val="single" w:sz="6" w:space="0" w:color="C8CDD2"/>
            </w:tcBorders>
            <w:tcMar>
              <w:top w:w="100" w:type="dxa"/>
              <w:left w:w="120" w:type="dxa"/>
              <w:bottom w:w="100" w:type="dxa"/>
              <w:right w:w="120" w:type="dxa"/>
            </w:tcMar>
            <w:hideMark/>
          </w:tcPr>
          <w:p w14:paraId="0976C7E0"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Tracked content</w:t>
            </w:r>
          </w:p>
        </w:tc>
        <w:tc>
          <w:tcPr>
            <w:tcW w:w="0" w:type="auto"/>
            <w:tcBorders>
              <w:bottom w:val="single" w:sz="6" w:space="0" w:color="C8CDD2"/>
            </w:tcBorders>
            <w:tcMar>
              <w:top w:w="100" w:type="dxa"/>
              <w:left w:w="120" w:type="dxa"/>
              <w:bottom w:w="100" w:type="dxa"/>
              <w:right w:w="120" w:type="dxa"/>
            </w:tcMar>
            <w:hideMark/>
          </w:tcPr>
          <w:p w14:paraId="2CDE98D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1.9 MB</w:t>
            </w:r>
          </w:p>
        </w:tc>
        <w:tc>
          <w:tcPr>
            <w:tcW w:w="0" w:type="auto"/>
            <w:tcBorders>
              <w:bottom w:val="single" w:sz="6" w:space="0" w:color="C8CDD2"/>
            </w:tcBorders>
            <w:tcMar>
              <w:top w:w="100" w:type="dxa"/>
              <w:left w:w="120" w:type="dxa"/>
              <w:bottom w:w="100" w:type="dxa"/>
              <w:right w:w="120" w:type="dxa"/>
            </w:tcMar>
            <w:hideMark/>
          </w:tcPr>
          <w:p w14:paraId="729A6058" w14:textId="77777777" w:rsidR="001D255B" w:rsidRDefault="001D255B">
            <w:pPr>
              <w:spacing w:before="160" w:after="240"/>
              <w:rPr>
                <w:rFonts w:ascii="Calibri" w:eastAsia="Times New Roman" w:hAnsi="Calibri" w:cs="Calibri"/>
                <w:color w:val="1A1A1A"/>
                <w:sz w:val="20"/>
                <w:szCs w:val="20"/>
              </w:rPr>
            </w:pPr>
            <w:r>
              <w:rPr>
                <w:rFonts w:ascii="Calibri" w:eastAsia="Times New Roman" w:hAnsi="Calibri" w:cs="Calibri"/>
                <w:color w:val="1A1A1A"/>
                <w:sz w:val="20"/>
                <w:szCs w:val="20"/>
              </w:rPr>
              <w:t>24.7 MB (the code graph accounts for most of it)</w:t>
            </w:r>
          </w:p>
        </w:tc>
      </w:tr>
    </w:tbl>
    <w:p w14:paraId="6B5BF343" w14:textId="77777777" w:rsidR="001D255B" w:rsidRDefault="001D255B">
      <w:pPr>
        <w:pStyle w:val="Heading2"/>
        <w:ind w:left="1134" w:right="1134"/>
        <w:divId w:val="355160719"/>
        <w:rPr>
          <w:rFonts w:ascii="Calibri" w:eastAsia="Times New Roman" w:hAnsi="Calibri" w:cs="Calibri"/>
          <w:lang w:val="en"/>
        </w:rPr>
      </w:pPr>
      <w:r>
        <w:rPr>
          <w:rFonts w:ascii="Calibri" w:eastAsia="Times New Roman" w:hAnsi="Calibri" w:cs="Calibri"/>
          <w:lang w:val="en"/>
        </w:rPr>
        <w:t>5. What is still open</w:t>
      </w:r>
    </w:p>
    <w:p w14:paraId="419049D3" w14:textId="77777777" w:rsidR="001D255B" w:rsidRDefault="001D255B">
      <w:pPr>
        <w:numPr>
          <w:ilvl w:val="0"/>
          <w:numId w:val="1"/>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T-0003 (crew 0.19.95) is rebased and gated; it merges right after this report.</w:t>
      </w:r>
    </w:p>
    <w:p w14:paraId="576D007D" w14:textId="77777777" w:rsidR="001D255B" w:rsidRDefault="001D255B">
      <w:pPr>
        <w:numPr>
          <w:ilvl w:val="0"/>
          <w:numId w:val="1"/>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Item 11, the fix list: the developer role's commit rule (resolved by T-0003), silent model routing for developer roles, UTF-8 stderr in the hook scripts, the marketplace checker crashing on an unstaged deletion, a load-sensitive timing test, PM-dispatched developers not being resumable by id, the install script skipping </w:t>
      </w:r>
      <w:r>
        <w:rPr>
          <w:rStyle w:val="HTMLCode"/>
          <w:color w:val="1A1A1A"/>
          <w:lang w:val="en"/>
        </w:rPr>
        <w:t>plugin/*</w:t>
      </w:r>
      <w:r>
        <w:rPr>
          <w:rFonts w:ascii="Calibri" w:eastAsia="Times New Roman" w:hAnsi="Calibri" w:cs="Calibri"/>
          <w:color w:val="1A1A1A"/>
          <w:sz w:val="22"/>
          <w:szCs w:val="22"/>
          <w:lang w:val="en"/>
        </w:rPr>
        <w:t>, and one backwards sentence in CLAUDE.md.</w:t>
      </w:r>
    </w:p>
    <w:p w14:paraId="0BB89747" w14:textId="77777777" w:rsidR="001D255B" w:rsidRDefault="001D255B">
      <w:pPr>
        <w:numPr>
          <w:ilvl w:val="0"/>
          <w:numId w:val="1"/>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Local </w:t>
      </w:r>
      <w:r>
        <w:rPr>
          <w:rStyle w:val="HTMLCode"/>
          <w:color w:val="1A1A1A"/>
          <w:lang w:val="en"/>
        </w:rPr>
        <w:t>main</w:t>
      </w:r>
      <w:r>
        <w:rPr>
          <w:rFonts w:ascii="Calibri" w:eastAsia="Times New Roman" w:hAnsi="Calibri" w:cs="Calibri"/>
          <w:color w:val="1A1A1A"/>
          <w:sz w:val="22"/>
          <w:szCs w:val="22"/>
          <w:lang w:val="en"/>
        </w:rPr>
        <w:t xml:space="preserve"> </w:t>
      </w:r>
      <w:r>
        <w:rPr>
          <w:rFonts w:ascii="Calibri" w:eastAsia="Times New Roman" w:hAnsi="Calibri" w:cs="Calibri"/>
          <w:color w:val="1A1A1A"/>
          <w:sz w:val="22"/>
          <w:szCs w:val="22"/>
          <w:lang w:val="en"/>
        </w:rPr>
        <w:t>in this checkout carries four unpushed commits from another session, one of which fails pylint; that session moves them to their own worktree.</w:t>
      </w:r>
    </w:p>
    <w:p w14:paraId="4390266E" w14:textId="77777777" w:rsidR="001D255B" w:rsidRDefault="001D255B">
      <w:pPr>
        <w:numPr>
          <w:ilvl w:val="0"/>
          <w:numId w:val="1"/>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The Stop gate's effect on live sessions is not yet measured; TheSelectSource's rules 0 to 9 still need an owner's decision on </w:t>
      </w:r>
      <w:r>
        <w:rPr>
          <w:rStyle w:val="HTMLCode"/>
          <w:color w:val="1A1A1A"/>
          <w:lang w:val="en"/>
        </w:rPr>
        <w:t>--ci</w:t>
      </w:r>
      <w:r>
        <w:rPr>
          <w:rFonts w:ascii="Calibri" w:eastAsia="Times New Roman" w:hAnsi="Calibri" w:cs="Calibri"/>
          <w:color w:val="1A1A1A"/>
          <w:sz w:val="22"/>
          <w:szCs w:val="22"/>
          <w:lang w:val="en"/>
        </w:rPr>
        <w:t>.</w:t>
      </w:r>
    </w:p>
    <w:p w14:paraId="0C1F272D" w14:textId="77777777" w:rsidR="001D255B" w:rsidRDefault="001D255B">
      <w:pPr>
        <w:pStyle w:val="Heading2"/>
        <w:ind w:left="1134" w:right="1134"/>
        <w:divId w:val="355160719"/>
        <w:rPr>
          <w:rFonts w:ascii="Calibri" w:eastAsia="Times New Roman" w:hAnsi="Calibri" w:cs="Calibri"/>
          <w:lang w:val="en"/>
        </w:rPr>
      </w:pPr>
      <w:r>
        <w:rPr>
          <w:rFonts w:ascii="Calibri" w:eastAsia="Times New Roman" w:hAnsi="Calibri" w:cs="Calibri"/>
          <w:lang w:val="en"/>
        </w:rPr>
        <w:t>6. Lessons recorded in the repository</w:t>
      </w:r>
    </w:p>
    <w:p w14:paraId="222E9B54" w14:textId="77777777" w:rsidR="001D255B" w:rsidRDefault="001D255B">
      <w:pPr>
        <w:numPr>
          <w:ilvl w:val="0"/>
          <w:numId w:val="2"/>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Static analysis of shell is an arms race; inspection may only reject.</w:t>
      </w:r>
    </w:p>
    <w:p w14:paraId="71099EE8" w14:textId="77777777" w:rsidR="001D255B" w:rsidRDefault="001D255B">
      <w:pPr>
        <w:numPr>
          <w:ilvl w:val="0"/>
          <w:numId w:val="2"/>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watcher keyed on a completion marker can spin forever after a process reap; key it on the output going quiet as well.</w:t>
      </w:r>
    </w:p>
    <w:p w14:paraId="19222FBB" w14:textId="77777777" w:rsidR="001D255B" w:rsidRDefault="001D255B">
      <w:pPr>
        <w:numPr>
          <w:ilvl w:val="0"/>
          <w:numId w:val="2"/>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Git Bash's </w:t>
      </w:r>
      <w:r>
        <w:rPr>
          <w:rStyle w:val="HTMLCode"/>
          <w:color w:val="1A1A1A"/>
          <w:lang w:val="en"/>
        </w:rPr>
        <w:t>timeout</w:t>
      </w:r>
      <w:r>
        <w:rPr>
          <w:rFonts w:ascii="Calibri" w:eastAsia="Times New Roman" w:hAnsi="Calibri" w:cs="Calibri"/>
          <w:color w:val="1A1A1A"/>
          <w:sz w:val="22"/>
          <w:szCs w:val="22"/>
          <w:lang w:val="en"/>
        </w:rPr>
        <w:t xml:space="preserve"> reports 124 and leaves the native Python running; kill by PID.</w:t>
      </w:r>
    </w:p>
    <w:p w14:paraId="4F8DDFBD" w14:textId="77777777" w:rsidR="001D255B" w:rsidRDefault="001D255B">
      <w:pPr>
        <w:numPr>
          <w:ilvl w:val="0"/>
          <w:numId w:val="2"/>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Any multi-commit plugin branch fails the version-set check by construction; squash-merge it.</w:t>
      </w:r>
    </w:p>
    <w:p w14:paraId="10CD4874" w14:textId="77777777" w:rsidR="001D255B" w:rsidRDefault="001D255B">
      <w:pPr>
        <w:numPr>
          <w:ilvl w:val="0"/>
          <w:numId w:val="2"/>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A CHANGELOG union across commits that rewrite one entry keeps stale text; rebuild from main plus the branch's net block.</w:t>
      </w:r>
    </w:p>
    <w:p w14:paraId="2E61481C" w14:textId="77777777" w:rsidR="001D255B" w:rsidRDefault="001D255B">
      <w:pPr>
        <w:numPr>
          <w:ilvl w:val="0"/>
          <w:numId w:val="2"/>
        </w:numPr>
        <w:spacing w:before="60" w:after="60"/>
        <w:ind w:left="2214" w:right="1134"/>
        <w:divId w:val="355160719"/>
        <w:rPr>
          <w:rFonts w:ascii="Calibri" w:eastAsia="Times New Roman" w:hAnsi="Calibri" w:cs="Calibri"/>
          <w:color w:val="1A1A1A"/>
          <w:sz w:val="22"/>
          <w:szCs w:val="22"/>
          <w:lang w:val="en"/>
        </w:rPr>
      </w:pPr>
      <w:r>
        <w:rPr>
          <w:rFonts w:ascii="Calibri" w:eastAsia="Times New Roman" w:hAnsi="Calibri" w:cs="Calibri"/>
          <w:color w:val="1A1A1A"/>
          <w:sz w:val="22"/>
          <w:szCs w:val="22"/>
          <w:lang w:val="en"/>
        </w:rPr>
        <w:t xml:space="preserve">A second session committing to local main while a merge sequence runs means every rebase must target </w:t>
      </w:r>
      <w:r>
        <w:rPr>
          <w:rStyle w:val="HTMLCode"/>
          <w:color w:val="1A1A1A"/>
          <w:lang w:val="en"/>
        </w:rPr>
        <w:t>origin/main</w:t>
      </w:r>
      <w:r>
        <w:rPr>
          <w:rFonts w:ascii="Calibri" w:eastAsia="Times New Roman" w:hAnsi="Calibri" w:cs="Calibri"/>
          <w:color w:val="1A1A1A"/>
          <w:sz w:val="22"/>
          <w:szCs w:val="22"/>
          <w:lang w:val="en"/>
        </w:rPr>
        <w:t>.</w:t>
      </w:r>
    </w:p>
    <w:p w14:paraId="651815F6" w14:textId="77777777" w:rsidR="001D255B" w:rsidRDefault="001D255B">
      <w:pPr>
        <w:pStyle w:val="muted"/>
        <w:spacing w:before="120" w:after="1134"/>
        <w:ind w:left="1134" w:right="1134"/>
        <w:divId w:val="355160719"/>
        <w:rPr>
          <w:rFonts w:ascii="Calibri" w:hAnsi="Calibri" w:cs="Calibri"/>
          <w:lang w:val="en"/>
        </w:rPr>
      </w:pPr>
      <w:r>
        <w:rPr>
          <w:rFonts w:ascii="Calibri" w:hAnsi="Calibri" w:cs="Calibri"/>
          <w:lang w:val="en"/>
        </w:rPr>
        <w:t xml:space="preserve">Provenance: PR numbers from GitHub; counts from </w:t>
      </w:r>
      <w:r>
        <w:rPr>
          <w:rStyle w:val="HTMLCode"/>
          <w:lang w:val="en"/>
        </w:rPr>
        <w:t>git ls-tree</w:t>
      </w:r>
      <w:r>
        <w:rPr>
          <w:rFonts w:ascii="Calibri" w:hAnsi="Calibri" w:cs="Calibri"/>
          <w:lang w:val="en"/>
        </w:rPr>
        <w:t xml:space="preserve"> </w:t>
      </w:r>
      <w:r>
        <w:rPr>
          <w:rFonts w:ascii="Calibri" w:hAnsi="Calibri" w:cs="Calibri"/>
          <w:lang w:val="en"/>
        </w:rPr>
        <w:t xml:space="preserve">at the two commits named above; review rows from </w:t>
      </w:r>
      <w:r>
        <w:rPr>
          <w:rStyle w:val="HTMLCode"/>
          <w:lang w:val="en"/>
        </w:rPr>
        <w:t>.crew/metrics.md</w:t>
      </w:r>
      <w:r>
        <w:rPr>
          <w:rFonts w:ascii="Calibri" w:hAnsi="Calibri" w:cs="Calibri"/>
          <w:lang w:val="en"/>
        </w:rPr>
        <w:t>. Not verified: live Stop timings on other machines.</w:t>
      </w:r>
    </w:p>
    <w:sectPr w:rsidR="001D2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66FE3"/>
    <w:multiLevelType w:val="multilevel"/>
    <w:tmpl w:val="61C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55B00"/>
    <w:multiLevelType w:val="multilevel"/>
    <w:tmpl w:val="0B48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1266">
    <w:abstractNumId w:val="1"/>
  </w:num>
  <w:num w:numId="2" w16cid:durableId="966819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6979"/>
    <w:rsid w:val="001D255B"/>
    <w:rsid w:val="00551484"/>
    <w:rsid w:val="00A469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808E9A"/>
  <w15:chartTrackingRefBased/>
  <w15:docId w15:val="{63D556D3-BDB6-4DB2-A345-E0673D087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outlineLvl w:val="0"/>
    </w:pPr>
    <w:rPr>
      <w:b/>
      <w:bCs/>
      <w:color w:val="1F4E79"/>
      <w:kern w:val="36"/>
      <w:sz w:val="44"/>
      <w:szCs w:val="44"/>
    </w:rPr>
  </w:style>
  <w:style w:type="paragraph" w:styleId="Heading2">
    <w:name w:val="heading 2"/>
    <w:basedOn w:val="Normal"/>
    <w:link w:val="Heading2Char"/>
    <w:uiPriority w:val="9"/>
    <w:qFormat/>
    <w:pPr>
      <w:pBdr>
        <w:bottom w:val="single" w:sz="6" w:space="3" w:color="5C6670"/>
      </w:pBdr>
      <w:spacing w:before="480" w:after="100" w:afterAutospacing="1"/>
      <w:outlineLvl w:val="1"/>
    </w:pPr>
    <w:rPr>
      <w:b/>
      <w:bCs/>
      <w:color w:val="1F4E79"/>
      <w:sz w:val="32"/>
      <w:szCs w:val="32"/>
    </w:rPr>
  </w:style>
  <w:style w:type="paragraph" w:styleId="Heading3">
    <w:name w:val="heading 3"/>
    <w:basedOn w:val="Normal"/>
    <w:link w:val="Heading3Char"/>
    <w:uiPriority w:val="9"/>
    <w:qFormat/>
    <w:pPr>
      <w:spacing w:before="320" w:after="100" w:afterAutospacing="1"/>
      <w:outlineLvl w:val="2"/>
    </w:pPr>
    <w:rPr>
      <w:b/>
      <w:bCs/>
      <w:color w:val="1F4E79"/>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20" w:after="120"/>
    </w:pPr>
  </w:style>
  <w:style w:type="paragraph" w:styleId="NormalWeb">
    <w:name w:val="Normal (Web)"/>
    <w:basedOn w:val="Normal"/>
    <w:uiPriority w:val="99"/>
    <w:semiHidden/>
    <w:unhideWhenUsed/>
    <w:pPr>
      <w:spacing w:before="120" w:after="120"/>
    </w:pPr>
  </w:style>
  <w:style w:type="paragraph" w:customStyle="1" w:styleId="muted">
    <w:name w:val="muted"/>
    <w:basedOn w:val="Normal"/>
    <w:pPr>
      <w:spacing w:before="60" w:after="60"/>
    </w:pPr>
    <w:rPr>
      <w:color w:val="5C6670"/>
      <w:sz w:val="19"/>
      <w:szCs w:val="19"/>
    </w:rPr>
  </w:style>
  <w:style w:type="paragraph" w:customStyle="1" w:styleId="warn">
    <w:name w:val="warn"/>
    <w:basedOn w:val="Normal"/>
    <w:pPr>
      <w:spacing w:before="60" w:after="60"/>
    </w:pPr>
    <w:rPr>
      <w:color w:val="B45309"/>
    </w:rPr>
  </w:style>
  <w:style w:type="paragraph" w:customStyle="1" w:styleId="box">
    <w:name w:val="box"/>
    <w:basedOn w:val="Normal"/>
    <w:pPr>
      <w:pBdr>
        <w:top w:val="single" w:sz="6" w:space="8" w:color="1F4E79"/>
        <w:left w:val="single" w:sz="6" w:space="10" w:color="1F4E79"/>
        <w:bottom w:val="single" w:sz="6" w:space="8" w:color="1F4E79"/>
        <w:right w:val="single" w:sz="6" w:space="10" w:color="1F4E79"/>
      </w:pBdr>
      <w:shd w:val="clear" w:color="auto" w:fill="F3F6FA"/>
      <w:spacing w:before="200" w:after="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160719">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406809204">
          <w:marLeft w:val="0"/>
          <w:marRight w:val="0"/>
          <w:marTop w:val="200"/>
          <w:marBottom w:val="200"/>
          <w:divBdr>
            <w:top w:val="single" w:sz="6" w:space="8" w:color="1F4E79"/>
            <w:left w:val="single" w:sz="6" w:space="10" w:color="1F4E79"/>
            <w:bottom w:val="single" w:sz="6" w:space="8" w:color="1F4E79"/>
            <w:right w:val="single" w:sz="6" w:space="10" w:color="1F4E79"/>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966</Words>
  <Characters>5510</Characters>
  <Application>Microsoft Office Word</Application>
  <DocSecurity>4</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Crew progress report: 19 to 20 September 2026</dc:title>
  <dc:subject/>
  <dc:creator>Matthew A Badali</dc:creator>
  <cp:keywords/>
  <dc:description/>
  <cp:lastModifiedBy>Matthew A Badali</cp:lastModifiedBy>
  <cp:revision>2</cp:revision>
  <dcterms:created xsi:type="dcterms:W3CDTF">2026-09-21T01:33:00Z</dcterms:created>
  <dcterms:modified xsi:type="dcterms:W3CDTF">2026-09-21T01:33:00Z</dcterms:modified>
</cp:coreProperties>
</file>