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The session hooks (</w:t>
      </w:r>
      <w:r>
        <w:rPr>
          <w:rStyle w:val="SourceText"/>
        </w:rPr>
        <w:t>notify</w:t>
      </w:r>
      <w:r>
        <w:rPr/>
        <w:t xml:space="preserve">, the handoff scripts, </w:t>
      </w:r>
      <w:r>
        <w:rPr>
          <w:rStyle w:val="SourceText"/>
        </w:rPr>
        <w:t>context-watch</w:t>
      </w:r>
      <w:r>
        <w:rPr/>
        <w:t xml:space="preserve">), the verify gate, the scope and completion wrappers and </w:t>
      </w:r>
      <w:r>
        <w:rPr>
          <w:rStyle w:val="SourceText"/>
        </w:rPr>
        <w:t>review_gate.py</w:t>
      </w:r>
      <w:r>
        <w:rPr/>
        <w:t xml:space="preserve"> do not inherit yet, so </w:t>
      </w:r>
      <w:r>
        <w:rPr>
          <w:rStyle w:val="SourceText"/>
        </w:rPr>
        <w:t>verify-gate.ps1</w:t>
      </w:r>
      <w:r>
        <w:rPr/>
        <w:t xml:space="preserve"> still reads the lane's own </w:t>
      </w:r>
      <w:r>
        <w:rPr>
          <w:rStyle w:val="SourceText"/>
        </w:rPr>
        <w:t>emergency.standDown</w:t>
      </w:r>
      <w:r>
        <w:rPr/>
        <w:t xml:space="preserve"> while the bash gate reads the inherited one.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7" w:name="obsidian"/>
      <w:bookmarkEnd w:id="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7"/>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7"/>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8"/>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8"/>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8"/>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8"/>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8"/>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8" w:name="auto-wrap-up-clear-and-resume"/>
      <w:bookmarkEnd w:id="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9" w:name="auto-clear-did-nothing-on-windows"/>
      <w:bookmarkEnd w:id="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9"/>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9"/>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0" w:name="claude-code-compacted-by-itself"/>
      <w:bookmarkEnd w:id="1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1" w:name="turning-things-off"/>
      <w:bookmarkEnd w:id="1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2" w:name="web-testing"/>
      <w:bookmarkEnd w:id="1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0"/>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0"/>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0"/>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0"/>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3" w:name="windows-notes"/>
      <w:bookmarkEnd w:id="13"/>
      <w:r>
        <w:rPr/>
        <w:t>Windows Notes</w:t>
      </w:r>
    </w:p>
    <w:p>
      <w:pPr>
        <w:pStyle w:val="BodyText"/>
        <w:numPr>
          <w:ilvl w:val="0"/>
          <w:numId w:val="21"/>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1"/>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1"/>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1"/>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4" w:name="auto-wrap-up-auto-clear-and-auto-resume"/>
      <w:bookmarkEnd w:id="1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5" w:name="what-the-cycle-does"/>
      <w:bookmarkEnd w:id="15"/>
      <w:r>
        <w:rPr/>
        <w:t>What the Cycle Does</w:t>
      </w:r>
    </w:p>
    <w:p>
      <w:pPr>
        <w:pStyle w:val="BodyText"/>
        <w:numPr>
          <w:ilvl w:val="0"/>
          <w:numId w:val="22"/>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22"/>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6" w:name="turning-it-on-and-off"/>
      <w:bookmarkEnd w:id="16"/>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419"/>
        <w:gridCol w:w="4096"/>
        <w:gridCol w:w="1750"/>
        <w:gridCol w:w="3545"/>
      </w:tblGrid>
      <w:tr>
        <w:trPr>
          <w:tblHeader w:val="true"/>
        </w:trPr>
        <w:tc>
          <w:tcPr>
            <w:tcW w:w="2419"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750" w:type="dxa"/>
            <w:tcBorders/>
            <w:vAlign w:val="center"/>
          </w:tcPr>
          <w:p>
            <w:pPr>
              <w:pStyle w:val="TableHeading"/>
              <w:suppressLineNumbers/>
              <w:shd w:fill="434C5E" w:val="clear"/>
              <w:bidi w:val="0"/>
              <w:spacing w:before="120" w:after="120"/>
              <w:jc w:val="left"/>
              <w:rPr/>
            </w:pPr>
            <w:r>
              <w:rPr/>
              <w:t>Value</w:t>
            </w:r>
          </w:p>
        </w:tc>
        <w:tc>
          <w:tcPr>
            <w:tcW w:w="3545" w:type="dxa"/>
            <w:tcBorders/>
            <w:vAlign w:val="center"/>
          </w:tcPr>
          <w:p>
            <w:pPr>
              <w:pStyle w:val="TableHeading"/>
              <w:suppressLineNumbers/>
              <w:shd w:fill="434C5E" w:val="clear"/>
              <w:bidi w:val="0"/>
              <w:spacing w:before="120" w:after="120"/>
              <w:jc w:val="left"/>
              <w:rPr/>
            </w:pPr>
            <w:r>
              <w:rPr/>
              <w:t>Effect</w:t>
            </w:r>
          </w:p>
        </w:tc>
      </w:tr>
      <w:tr>
        <w:trPr/>
        <w:tc>
          <w:tcPr>
            <w:tcW w:w="2419"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0" w:type="dxa"/>
            <w:tcBorders/>
            <w:vAlign w:val="center"/>
          </w:tcPr>
          <w:p>
            <w:pPr>
              <w:pStyle w:val="TableContents"/>
              <w:shd w:fill="2E3440" w:val="clear"/>
              <w:bidi w:val="0"/>
              <w:spacing w:before="120" w:after="120"/>
              <w:jc w:val="left"/>
              <w:rPr/>
            </w:pPr>
            <w:r>
              <w:rPr>
                <w:rStyle w:val="SourceText"/>
              </w:rPr>
              <w:t>true</w:t>
            </w:r>
          </w:p>
        </w:tc>
        <w:tc>
          <w:tcPr>
            <w:tcW w:w="354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750"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54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750" w:type="dxa"/>
            <w:tcBorders/>
            <w:vAlign w:val="center"/>
          </w:tcPr>
          <w:p>
            <w:pPr>
              <w:pStyle w:val="TableContents"/>
              <w:shd w:fill="2E3440" w:val="clear"/>
              <w:bidi w:val="0"/>
              <w:spacing w:before="120" w:after="120"/>
              <w:jc w:val="left"/>
              <w:rPr/>
            </w:pPr>
            <w:r>
              <w:rPr/>
              <w:t>a substring of the terminal's title</w:t>
            </w:r>
          </w:p>
        </w:tc>
        <w:tc>
          <w:tcPr>
            <w:tcW w:w="354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750" w:type="dxa"/>
            <w:tcBorders/>
            <w:vAlign w:val="center"/>
          </w:tcPr>
          <w:p>
            <w:pPr>
              <w:pStyle w:val="TableContents"/>
              <w:shd w:fill="2E3440" w:val="clear"/>
              <w:bidi w:val="0"/>
              <w:spacing w:before="120" w:after="120"/>
              <w:jc w:val="left"/>
              <w:rPr/>
            </w:pPr>
            <w:r>
              <w:rPr>
                <w:rStyle w:val="SourceText"/>
              </w:rPr>
              <w:t>3</w:t>
            </w:r>
          </w:p>
        </w:tc>
        <w:tc>
          <w:tcPr>
            <w:tcW w:w="3545" w:type="dxa"/>
            <w:tcBorders/>
            <w:vAlign w:val="center"/>
          </w:tcPr>
          <w:p>
            <w:pPr>
              <w:pStyle w:val="TableContents"/>
              <w:shd w:fill="2E3440" w:val="clear"/>
              <w:bidi w:val="0"/>
              <w:spacing w:before="120" w:after="120"/>
              <w:jc w:val="left"/>
              <w:rPr/>
            </w:pPr>
            <w:r>
              <w:rPr/>
              <w:t>wait before typing, so the prompt exists</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750" w:type="dxa"/>
            <w:tcBorders/>
            <w:vAlign w:val="center"/>
          </w:tcPr>
          <w:p>
            <w:pPr>
              <w:pStyle w:val="TableContents"/>
              <w:shd w:fill="2E3440" w:val="clear"/>
              <w:bidi w:val="0"/>
              <w:spacing w:before="120" w:after="120"/>
              <w:jc w:val="left"/>
              <w:rPr/>
            </w:pPr>
            <w:r>
              <w:rPr>
                <w:rStyle w:val="SourceText"/>
              </w:rPr>
              <w:t>5</w:t>
            </w:r>
          </w:p>
        </w:tc>
        <w:tc>
          <w:tcPr>
            <w:tcW w:w="3545" w:type="dxa"/>
            <w:tcBorders/>
            <w:vAlign w:val="center"/>
          </w:tcPr>
          <w:p>
            <w:pPr>
              <w:pStyle w:val="TableContents"/>
              <w:shd w:fill="2E3440" w:val="clear"/>
              <w:bidi w:val="0"/>
              <w:spacing w:before="120" w:after="120"/>
              <w:jc w:val="left"/>
              <w:rPr/>
            </w:pPr>
            <w:r>
              <w:rPr/>
              <w:t>a shorter handoff counts as a stub</w:t>
            </w:r>
          </w:p>
        </w:tc>
      </w:tr>
      <w:tr>
        <w:trPr/>
        <w:tc>
          <w:tcPr>
            <w:tcW w:w="2419"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1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0" w:type="dxa"/>
            <w:tcBorders/>
            <w:vAlign w:val="center"/>
          </w:tcPr>
          <w:p>
            <w:pPr>
              <w:pStyle w:val="TableContents"/>
              <w:shd w:fill="2E3440" w:val="clear"/>
              <w:bidi w:val="0"/>
              <w:spacing w:before="120" w:after="120"/>
              <w:jc w:val="left"/>
              <w:rPr/>
            </w:pPr>
            <w:r>
              <w:rPr>
                <w:rStyle w:val="SourceText"/>
              </w:rPr>
              <w:t>true</w:t>
            </w:r>
          </w:p>
        </w:tc>
        <w:tc>
          <w:tcPr>
            <w:tcW w:w="354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19"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1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750" w:type="dxa"/>
            <w:tcBorders/>
            <w:vAlign w:val="center"/>
          </w:tcPr>
          <w:p>
            <w:pPr>
              <w:pStyle w:val="TableContents"/>
              <w:shd w:fill="2E3440" w:val="clear"/>
              <w:bidi w:val="0"/>
              <w:spacing w:before="120" w:after="120"/>
              <w:jc w:val="left"/>
              <w:rPr/>
            </w:pPr>
            <w:r>
              <w:rPr>
                <w:rStyle w:val="SourceText"/>
              </w:rPr>
              <w:t>true</w:t>
            </w:r>
          </w:p>
        </w:tc>
        <w:tc>
          <w:tcPr>
            <w:tcW w:w="354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1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1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turns off the whole context watcher, wrap-up included</w:t>
            </w:r>
          </w:p>
        </w:tc>
      </w:tr>
      <w:tr>
        <w:trPr/>
        <w:tc>
          <w:tcPr>
            <w:tcW w:w="241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7" w:name="armed-wrap-up-contextautoclearwrapup"/>
      <w:bookmarkEnd w:id="17"/>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23"/>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23"/>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23"/>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23"/>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18" w:name="arming-one-scratch-repo-while-other-sess"/>
      <w:bookmarkEnd w:id="18"/>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4"/>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4"/>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4"/>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4"/>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4"/>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4"/>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9" w:name="which-method-and-what-it-does"/>
      <w:bookmarkEnd w:id="19"/>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55"/>
        <w:gridCol w:w="236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55" w:type="dxa"/>
            <w:tcBorders/>
            <w:vAlign w:val="center"/>
          </w:tcPr>
          <w:p>
            <w:pPr>
              <w:pStyle w:val="TableHeading"/>
              <w:suppressLineNumbers/>
              <w:shd w:fill="434C5E" w:val="clear"/>
              <w:bidi w:val="0"/>
              <w:spacing w:before="120" w:after="120"/>
              <w:jc w:val="left"/>
              <w:rPr/>
            </w:pPr>
            <w:r>
              <w:rPr/>
              <w:t>What it does</w:t>
            </w:r>
          </w:p>
        </w:tc>
        <w:tc>
          <w:tcPr>
            <w:tcW w:w="236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5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36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55"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36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5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6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5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6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55" w:type="dxa"/>
            <w:tcBorders/>
            <w:vAlign w:val="center"/>
          </w:tcPr>
          <w:p>
            <w:pPr>
              <w:pStyle w:val="TableContents"/>
              <w:shd w:fill="2E3440" w:val="clear"/>
              <w:bidi w:val="0"/>
              <w:spacing w:before="120" w:after="120"/>
              <w:jc w:val="left"/>
              <w:rPr/>
            </w:pPr>
            <w:r>
              <w:rPr/>
              <w:t>Refused outright.</w:t>
            </w:r>
          </w:p>
        </w:tc>
        <w:tc>
          <w:tcPr>
            <w:tcW w:w="236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0" w:name="when-it-will-not-clear-or-notify"/>
      <w:bookmarkEnd w:id="20"/>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238"/>
        <w:gridCol w:w="6572"/>
      </w:tblGrid>
      <w:tr>
        <w:trPr>
          <w:tblHeader w:val="true"/>
        </w:trPr>
        <w:tc>
          <w:tcPr>
            <w:tcW w:w="5238" w:type="dxa"/>
            <w:tcBorders/>
            <w:vAlign w:val="center"/>
          </w:tcPr>
          <w:p>
            <w:pPr>
              <w:pStyle w:val="TableHeading"/>
              <w:suppressLineNumbers/>
              <w:shd w:fill="434C5E" w:val="clear"/>
              <w:bidi w:val="0"/>
              <w:spacing w:before="120" w:after="120"/>
              <w:jc w:val="left"/>
              <w:rPr/>
            </w:pPr>
            <w:r>
              <w:rPr/>
              <w:t>Log says</w:t>
            </w:r>
          </w:p>
        </w:tc>
        <w:tc>
          <w:tcPr>
            <w:tcW w:w="6572" w:type="dxa"/>
            <w:tcBorders/>
            <w:vAlign w:val="center"/>
          </w:tcPr>
          <w:p>
            <w:pPr>
              <w:pStyle w:val="TableHeading"/>
              <w:suppressLineNumbers/>
              <w:shd w:fill="434C5E" w:val="clear"/>
              <w:bidi w:val="0"/>
              <w:spacing w:before="120" w:after="120"/>
              <w:jc w:val="left"/>
              <w:rPr/>
            </w:pPr>
            <w:r>
              <w:rPr/>
              <w:t>Meaning</w:t>
            </w:r>
          </w:p>
        </w:tc>
      </w:tr>
      <w:tr>
        <w:trPr/>
        <w:tc>
          <w:tcPr>
            <w:tcW w:w="5238"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572"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38" w:type="dxa"/>
            <w:tcBorders/>
            <w:vAlign w:val="center"/>
          </w:tcPr>
          <w:p>
            <w:pPr>
              <w:pStyle w:val="TableContents"/>
              <w:shd w:fill="2E3440" w:val="clear"/>
              <w:bidi w:val="0"/>
              <w:spacing w:before="120" w:after="120"/>
              <w:jc w:val="left"/>
              <w:rPr/>
            </w:pPr>
            <w:r>
              <w:rPr>
                <w:rStyle w:val="SourceText"/>
              </w:rPr>
              <w:t>not trustworthy (unknown-window)</w:t>
            </w:r>
          </w:p>
        </w:tc>
        <w:tc>
          <w:tcPr>
            <w:tcW w:w="6572"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38"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572" w:type="dxa"/>
            <w:tcBorders/>
            <w:vAlign w:val="center"/>
          </w:tcPr>
          <w:p>
            <w:pPr>
              <w:pStyle w:val="TableContents"/>
              <w:shd w:fill="2E3440" w:val="clear"/>
              <w:bidi w:val="0"/>
              <w:spacing w:before="120" w:after="120"/>
              <w:jc w:val="left"/>
              <w:rPr/>
            </w:pPr>
            <w:r>
              <w:rPr/>
              <w:t>the last reading came from before a compaction</w:t>
            </w:r>
          </w:p>
        </w:tc>
      </w:tr>
      <w:tr>
        <w:trPr/>
        <w:tc>
          <w:tcPr>
            <w:tcW w:w="5238" w:type="dxa"/>
            <w:tcBorders/>
            <w:vAlign w:val="center"/>
          </w:tcPr>
          <w:p>
            <w:pPr>
              <w:pStyle w:val="TableContents"/>
              <w:shd w:fill="2E3440" w:val="clear"/>
              <w:bidi w:val="0"/>
              <w:spacing w:before="120" w:after="120"/>
              <w:jc w:val="left"/>
              <w:rPr/>
            </w:pPr>
            <w:r>
              <w:rPr>
                <w:rStyle w:val="SourceText"/>
              </w:rPr>
              <w:t>the wrap-up marker is empty or not JSON</w:t>
            </w:r>
          </w:p>
        </w:tc>
        <w:tc>
          <w:tcPr>
            <w:tcW w:w="6572"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38" w:type="dxa"/>
            <w:tcBorders/>
            <w:vAlign w:val="center"/>
          </w:tcPr>
          <w:p>
            <w:pPr>
              <w:pStyle w:val="TableContents"/>
              <w:shd w:fill="2E3440" w:val="clear"/>
              <w:bidi w:val="0"/>
              <w:spacing w:before="120" w:after="120"/>
              <w:jc w:val="left"/>
              <w:rPr/>
            </w:pPr>
            <w:r>
              <w:rPr>
                <w:rStyle w:val="SourceText"/>
              </w:rPr>
              <w:t>predates this session's wrap-up request</w:t>
            </w:r>
          </w:p>
        </w:tc>
        <w:tc>
          <w:tcPr>
            <w:tcW w:w="6572"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38" w:type="dxa"/>
            <w:tcBorders/>
            <w:vAlign w:val="center"/>
          </w:tcPr>
          <w:p>
            <w:pPr>
              <w:pStyle w:val="TableContents"/>
              <w:shd w:fill="2E3440" w:val="clear"/>
              <w:bidi w:val="0"/>
              <w:spacing w:before="120" w:after="120"/>
              <w:jc w:val="left"/>
              <w:rPr/>
            </w:pPr>
            <w:r>
              <w:rPr>
                <w:rStyle w:val="SourceText"/>
              </w:rPr>
              <w:t>automatic PreCompact skeleton</w:t>
            </w:r>
          </w:p>
        </w:tc>
        <w:tc>
          <w:tcPr>
            <w:tcW w:w="6572"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38"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572"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38"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572"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38"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572"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38"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572"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572"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572"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38"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572"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38"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572"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38"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572"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38" w:type="dxa"/>
            <w:tcBorders/>
            <w:vAlign w:val="center"/>
          </w:tcPr>
          <w:p>
            <w:pPr>
              <w:pStyle w:val="TableContents"/>
              <w:shd w:fill="2E3440" w:val="clear"/>
              <w:bidi w:val="0"/>
              <w:spacing w:before="120" w:after="120"/>
              <w:jc w:val="left"/>
              <w:rPr/>
            </w:pPr>
            <w:r>
              <w:rPr>
                <w:rStyle w:val="SourceText"/>
              </w:rPr>
              <w:t>tmux pane %N could not be confirmed</w:t>
            </w:r>
          </w:p>
        </w:tc>
        <w:tc>
          <w:tcPr>
            <w:tcW w:w="6572"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38" w:type="dxa"/>
            <w:tcBorders/>
            <w:vAlign w:val="center"/>
          </w:tcPr>
          <w:p>
            <w:pPr>
              <w:pStyle w:val="TableContents"/>
              <w:shd w:fill="2E3440" w:val="clear"/>
              <w:bidi w:val="0"/>
              <w:spacing w:before="120" w:after="120"/>
              <w:jc w:val="left"/>
              <w:rPr/>
            </w:pPr>
            <w:r>
              <w:rPr>
                <w:rStyle w:val="SourceText"/>
              </w:rPr>
              <w:t>method wtype ... is refused</w:t>
            </w:r>
          </w:p>
        </w:tc>
        <w:tc>
          <w:tcPr>
            <w:tcW w:w="6572"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38" w:type="dxa"/>
            <w:tcBorders/>
            <w:vAlign w:val="center"/>
          </w:tcPr>
          <w:p>
            <w:pPr>
              <w:pStyle w:val="TableContents"/>
              <w:shd w:fill="2E3440" w:val="clear"/>
              <w:bidi w:val="0"/>
              <w:spacing w:before="120" w:after="120"/>
              <w:jc w:val="left"/>
              <w:rPr/>
            </w:pPr>
            <w:r>
              <w:rPr>
                <w:rStyle w:val="SourceText"/>
              </w:rPr>
              <w:t>sent - method notify</w:t>
            </w:r>
          </w:p>
        </w:tc>
        <w:tc>
          <w:tcPr>
            <w:tcW w:w="6572"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572"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38"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572"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1" w:name="which-window-gets-the-keystroke"/>
      <w:bookmarkEnd w:id="21"/>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25"/>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25"/>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25"/>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